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kg-20261021.htm"/>
      <w:bookmarkStart w:id="1" w:name="kspkg20261021"/>
      <w:bookmarkEnd w:id="0"/>
      <w:bookmarkEnd w:id="1"/>
      <w:r>
        <w:rPr/>
        <w:t> </w:t>
      </w:r>
    </w:p>
    <w:p>
      <w:pPr>
        <w:pStyle w:val="TextBody"/>
        <w:pBdr>
          <w:bottom w:val="double" w:sz="6" w:space="1" w:color="000000"/>
        </w:pBdr>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4" w:space="1" w:color="000000"/>
        </w:pBdr>
        <w:bidi w:val="0"/>
        <w:jc w:val="center"/>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CURRENT REPORT</w:t>
            </w:r>
          </w:p>
        </w:tc>
      </w:tr>
      <w:tr>
        <w:trPr/>
        <w:tc>
          <w:tcPr>
            <w:tcW w:w="346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Pursuant to Section 13 OR 15(d)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The Securities Exchange Act of 1934</w:t>
            </w:r>
          </w:p>
        </w:tc>
      </w:tr>
    </w:tbl>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Date of Report (Date of earliest event reported): October 21, 2026</w:t>
      </w:r>
    </w:p>
    <w:p>
      <w:pPr>
        <w:pStyle w:val="TextBody"/>
        <w:pBdr>
          <w:bottom w:val="single" w:sz="4" w:space="1" w:color="000000"/>
        </w:pBdr>
        <w:bidi w:val="0"/>
        <w:spacing w:before="0" w:after="120"/>
        <w:jc w:val="center"/>
        <w:rPr/>
      </w:pPr>
      <w:r>
        <w:rPr/>
        <w:t> </w:t>
      </w:r>
    </w:p>
    <w:p>
      <w:pPr>
        <w:pStyle w:val="TextBody"/>
        <w:bidi w:val="0"/>
        <w:jc w:val="center"/>
        <w:rPr/>
      </w:pPr>
      <w:r>
        <w:rPr/>
        <w:drawing>
          <wp:inline distT="0" distB="0" distL="0" distR="0">
            <wp:extent cx="10287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4857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spacing w:before="0" w:after="12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1-15399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36-4277050</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 North Field Court, Lake Forest, Illinois</w:t>
      </w:r>
      <w:r>
        <w:rPr>
          <w:rFonts w:ascii="Times New Roman" w:hAnsi="Times New Roman"/>
          <w:color w:val="000000"/>
          <w:sz w:val="20"/>
        </w:rPr>
        <w:t xml:space="preserve"> </w:t>
      </w:r>
      <w:r>
        <w:rPr>
          <w:rFonts w:ascii="Times New Roman" w:hAnsi="Times New Roman"/>
          <w:b/>
          <w:color w:val="000000"/>
          <w:sz w:val="20"/>
        </w:rPr>
        <w:t>60045</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482-3000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registrants under any of the following provisions:</w:t>
      </w:r>
    </w:p>
    <w:tbl>
      <w:tblPr>
        <w:tblW w:w="8402" w:type="dxa"/>
        <w:jc w:val="left"/>
        <w:tblInd w:w="0" w:type="dxa"/>
        <w:tblLayout w:type="fixed"/>
        <w:tblCellMar>
          <w:top w:w="28" w:type="dxa"/>
          <w:left w:w="28" w:type="dxa"/>
          <w:bottom w:w="28" w:type="dxa"/>
          <w:right w:w="28" w:type="dxa"/>
        </w:tblCellMar>
      </w:tblPr>
      <w:tblGrid>
        <w:gridCol w:w="331"/>
        <w:gridCol w:w="8071"/>
      </w:tblGrid>
      <w:tr>
        <w:trPr/>
        <w:tc>
          <w:tcPr>
            <w:tcW w:w="33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14d-2 (b) under the Exchange Act (17 CFR 240.14d-2 (b))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13e-4 (c) under the Exchange Act (17 CFR 240.13e-4 (c))</w:t>
            </w:r>
          </w:p>
        </w:tc>
      </w:tr>
    </w:tbl>
    <w:p>
      <w:pPr>
        <w:pStyle w:val="TextBody"/>
        <w:bidi w:val="0"/>
        <w:spacing w:before="180" w:after="283"/>
        <w:jc w:val="left"/>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Emerging growth company ☐</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Securities registered pursuant to Section 12(b) of the Exchange Act:</w:t>
      </w:r>
    </w:p>
    <w:p>
      <w:pPr>
        <w:pStyle w:val="TextBody"/>
        <w:bidi w:val="0"/>
        <w:spacing w:before="180" w:after="283"/>
        <w:jc w:val="left"/>
        <w:rPr/>
      </w:pPr>
      <w:r>
        <w:rPr/>
        <w:t> </w:t>
      </w:r>
    </w:p>
    <w:tbl>
      <w:tblPr>
        <w:tblW w:w="6003" w:type="dxa"/>
        <w:jc w:val="left"/>
        <w:tblInd w:w="0" w:type="dxa"/>
        <w:tblLayout w:type="fixed"/>
        <w:tblCellMar>
          <w:top w:w="28" w:type="dxa"/>
          <w:left w:w="28" w:type="dxa"/>
          <w:bottom w:w="28" w:type="dxa"/>
          <w:right w:w="28" w:type="dxa"/>
        </w:tblCellMar>
      </w:tblPr>
      <w:tblGrid>
        <w:gridCol w:w="1351"/>
        <w:gridCol w:w="1426"/>
        <w:gridCol w:w="3226"/>
      </w:tblGrid>
      <w:tr>
        <w:trPr/>
        <w:tc>
          <w:tcPr>
            <w:tcW w:w="13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PKG</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in this Item 2.02, including the exhibit described below, shall not be deemed “filed” hereunder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21, 2026, Packaging Corporation of America issued a press release announcing third quarter financial results. The press release is furnished as Exhibit 99.1 and is incorporated into this Item 2.02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kg-ex99_1.htm">
              <w:r>
                <w:rPr>
                  <w:rStyle w:val="InternetLink"/>
                  <w:rFonts w:ascii="Times New Roman" w:hAnsi="Times New Roman"/>
                  <w:color w:val="0000FF"/>
                  <w:sz w:val="20"/>
                  <w:u w:val="single"/>
                </w:rPr>
                <w:t>Third Quarter 2026 Earnings Press Release dated October 21, 2026</w:t>
              </w:r>
            </w:hyperlink>
          </w:p>
        </w:tc>
      </w:tr>
      <w:tr>
        <w:trPr/>
        <w:tc>
          <w:tcPr>
            <w:tcW w:w="4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registrants have duly caused this report to be signed on their behalf by the undersigned hereunto duly authorized.</w:t>
      </w:r>
    </w:p>
    <w:p>
      <w:pPr>
        <w:pStyle w:val="TextBody"/>
        <w:bidi w:val="0"/>
        <w:jc w:val="both"/>
        <w:rPr/>
      </w:pPr>
      <w:r>
        <w:rPr/>
        <w:t> </w:t>
      </w:r>
    </w:p>
    <w:tbl>
      <w:tblPr>
        <w:tblW w:w="5135" w:type="dxa"/>
        <w:jc w:val="left"/>
        <w:tblInd w:w="0" w:type="dxa"/>
        <w:tblLayout w:type="fixed"/>
        <w:tblCellMar>
          <w:top w:w="28" w:type="dxa"/>
          <w:left w:w="28" w:type="dxa"/>
          <w:bottom w:w="28" w:type="dxa"/>
          <w:right w:w="28" w:type="dxa"/>
        </w:tblCellMar>
      </w:tblPr>
      <w:tblGrid>
        <w:gridCol w:w="161"/>
        <w:gridCol w:w="146"/>
        <w:gridCol w:w="146"/>
        <w:gridCol w:w="406"/>
        <w:gridCol w:w="427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3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 CORPORATION OF AMERICA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FABIAN C. STRAUSS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Senior Vice President, Finance, Controller and Treasurer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21,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kg-ex99_1.htm"/>
      <w:bookmarkStart w:id="3" w:name="kspkg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 REPORTS THIRD QUARTER 2026 RESULTS</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Lake Forest, IL, October 21, 2026</w:t>
      </w:r>
      <w:r>
        <w:rPr>
          <w:rFonts w:ascii="Times New Roman" w:hAnsi="Times New Roman"/>
          <w:color w:val="000000"/>
          <w:sz w:val="20"/>
        </w:rPr>
        <w:t xml:space="preserve"> – Packaging Corporation of America (NYSE: PKG) today reported third quarter 2026 net income of $262 million, or $2.93 per share, and net income of $272 million, or $3.04 per share, excluding special items. Third quarter net sales were $2.6 billion in 2026 and $2.3 billion in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72"/>
        <w:gridCol w:w="264"/>
        <w:gridCol w:w="383"/>
        <w:gridCol w:w="846"/>
        <w:gridCol w:w="264"/>
        <w:gridCol w:w="264"/>
        <w:gridCol w:w="383"/>
        <w:gridCol w:w="846"/>
        <w:gridCol w:w="264"/>
        <w:gridCol w:w="264"/>
        <w:gridCol w:w="383"/>
        <w:gridCol w:w="956"/>
        <w:gridCol w:w="216"/>
      </w:tblGrid>
      <w:tr>
        <w:trPr/>
        <w:tc>
          <w:tcPr>
            <w:tcW w:w="48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989"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Diluted earnings per share attributable to Packaging Corporation of America shareholders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Diluted EPS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Special Items Expense </w:t>
            </w:r>
            <w:r>
              <w:rPr>
                <w:rFonts w:ascii="Times New Roman" w:hAnsi="Times New Roman"/>
                <w:color w:val="000000"/>
                <w:sz w:val="13"/>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Diluted EPS excluding Special Items </w:t>
            </w:r>
            <w:r>
              <w:rPr>
                <w:rFonts w:ascii="Times New Roman" w:hAnsi="Times New Roman"/>
                <w:color w:val="000000"/>
                <w:sz w:val="13"/>
              </w:rPr>
              <w:t>(2)</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89" w:type="dxa"/>
            <w:gridSpan w:val="12"/>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 For descriptions and amounts of our special items, see the schedules with this release.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9" w:type="dxa"/>
            <w:gridSpan w:val="12"/>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1"/>
              </w:rPr>
              <w:t>(2)</w:t>
            </w:r>
            <w:r>
              <w:rPr>
                <w:rFonts w:ascii="Times New Roman" w:hAnsi="Times New Roman"/>
                <w:color w:val="000000"/>
                <w:sz w:val="16"/>
              </w:rPr>
              <w:t> Diluted EPS excluding Special Items is a non-GAAP financial measure. For information regarding our use of non-GAAP financial measures and descriptions and amounts of our special items, see the schedules with this release.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Reported earnings in the third quarter of 2026 include special items primarily for facility closure costs, acquisition and integration-related costs, the impact of a fire at a corrugated products facility, and restructuring charges relating to the Wallula, WA containerboard mill. Reported earnings in the third quarter of 2025 included special items for costs and charges related to the Greif containerboard business acquisition and closures of corrugated products facilities. Excluding special items, the $.31 per share increase in third quarter 2026 earnings compared to the third quarter of 2025 resulted from $.24 higher earnings from the acquired Greif operations and $.07 higher earnings in the legacy business. The acquired Greif operations generated earnings of $.13 in the third quarter of 2026 compared to a loss of ($.11) in the third quarter of 2025. The higher earnings in the legacy business were driven by favorable price and mix in the Packaging segment $.79, favorable production and sales volume in the Packaging segment, including the benefit of a higher volume of containerboard supplied by the legacy mills to the acquired Greif operations $.12, favorable price and mix in the Paper segment $.05 and a lower share count $.02. These items were partially offset by higher labor and operating expense ($.28), higher freight expense ($.26), higher corporate and other expense ($.13), higher fiber costs ($.12), higher depreciation and amortization expense ($.06), higher maintenance outage expense in the Paper segment ($.04), lower volume in the Paper segment ($.01), and higher interest expense, excluding Greif acquisition indebtedness ($.01).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Excluding the impact of special items, earnings were $.13 above third quarter guidance of $2.91 per share primarily due to favorable price and mix in the Packaging segment and favorable earnings from the acquired Greif operations, partially offset by higher labor and operating costs and unfavorable corrugated products sales volume.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information by segment is summarized below and in the schedules with this release.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295"/>
        <w:gridCol w:w="266"/>
        <w:gridCol w:w="385"/>
        <w:gridCol w:w="1044"/>
        <w:gridCol w:w="303"/>
        <w:gridCol w:w="266"/>
        <w:gridCol w:w="385"/>
        <w:gridCol w:w="1044"/>
        <w:gridCol w:w="217"/>
      </w:tblGrid>
      <w:tr>
        <w:trPr/>
        <w:tc>
          <w:tcPr>
            <w:tcW w:w="62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(dollars in millions)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operating income (loss)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385.3</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324.5</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Segment operating income (loss) excluding special items </w:t>
            </w:r>
            <w:r>
              <w:rPr>
                <w:rFonts w:ascii="Times New Roman" w:hAnsi="Times New Roman"/>
                <w:b/>
                <w:color w:val="000000"/>
                <w:sz w:val="13"/>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397.8</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350.8</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EBITDA excluding special items </w:t>
            </w:r>
            <w:r>
              <w:rPr>
                <w:rFonts w:ascii="Times New Roman" w:hAnsi="Times New Roman"/>
                <w:b/>
                <w:color w:val="000000"/>
                <w:sz w:val="13"/>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577.2</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503.4</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8" w:type="dxa"/>
            <w:gridSpan w:val="8"/>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 Segment operating income (loss) excluding special items and EBITDA excluding special items are non-GAAP financial measures. We provide information regarding our use of non-GAAP financial measures and reconciliations of historical non-GAAP financial measures presented in this press release to the most comparable measure reported in accordance with GAAP in the schedules to this press release.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corrugated products shipments were up 10.6% per day and in total compared to the third quarter of 2025. In the legacy packaging business, corrugated products shipments were down 0.5% per day and in total compared to the third quarter of 2025, with the same number of shipping days in each period. Containerboard production was 1,489,000 tons, and containerboard inventory was up 34,000 tons compared to the second quarter of 2026 and down 29,000 tons compared to the third quarter of 2025. In the Paper segment, sales volume was down 2.5% from the third quarter of 2025.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Commenting on reported results, Mark W. Kowlzan, Chairman and CEO, said, “We executed very well across all aspects of our operations, resulting in very strong earnings performance for the quarter despite continued cost headwinds from freight, recycled fiber and chemicals and some weakness in agricultural end markets in our corrugated business. Our mills ran at full capacity during the quarter, and we are meaningfully realizing production benefits from projects at our Jackson mill as well as improved operating performance at the acquired Greif mills. We managed to build sufficient inventory to put us in position to efficiently supply our corrugated operations in the fourth quarter and help us continue to mitigate escalating freight costs. Our white paper operations turned in another excellent quarter, with higher than expected sales volumes, strong price realization and safe and successful completion of the maintenance outage at the International Falls mill.”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Kowlzan added, “Looking ahead as we move from the third quarter into the fourth quarter, we expect solid corrugated products demand with some seasonal improvement. Shipments per day are expected to be at or around last year’s fourth quarter level with two fewer shipping days than the third quarter and total shipments are expected to be higher than the third quarter. Prices for containerboard and corrugated products are expected to improve as we continue to implement earlier price increases, but corrugated products mix will be seasonally weaker with higher e-commerce volumes. Containerboard production will be lower with maintenance outages at three of our mills, and mill maintenance outage expenses, including the impact on production volume from fourth quarter outages, will be significantly higher in the fourth quarter. We expect seasonally lower volume and slightly higher prices in the Paper segment. We expect freight costs to increase with diesel fuel prices increasing above third quarter levels. We also expect costs for recycled fiber to continue to increase as well as higher wood fiber costs due to winter yields and mill mix. Costs for chemicals and energy will increase due to higher prices and higher seasonal energy usage. Considering these items, we expect fourth quarter earnings of $2.81 per share, excluding special items.”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present our earnings expectation for the upcoming quarter excluding special items as special items are difficult to predict and quantify and may reflect the effect of future events. We currently expect to incur acquisition and integration related costs and costs related to the closure of corrugated products facilities during the fourth quarter; however, additional special items may arise due to fourth quarter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PCA is the third largest producer of containerboard products and a leading producer of uncoated freesheet paper in North America. PCA operates ten mills and 90 corrugated products plants and related 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the statements in this press release are forward-looking statements. Forward-looking statements include statements about our future earnings and financial condition,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2025, and in subsequent quarterly reports on Form 10-Q, filed with the Securities and Exchange Commission and available at the SEC’s website at “www.sec.gov”.</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Barbara Sessions</w:t>
      </w:r>
    </w:p>
    <w:p>
      <w:pPr>
        <w:pStyle w:val="TextBody"/>
        <w:bidi w:val="0"/>
        <w:jc w:val="both"/>
        <w:rPr>
          <w:rFonts w:ascii="Times New Roman" w:hAnsi="Times New Roman"/>
          <w:color w:val="000000"/>
          <w:sz w:val="20"/>
        </w:rPr>
      </w:pPr>
      <w:r>
        <w:rPr>
          <w:rFonts w:ascii="Times New Roman" w:hAnsi="Times New Roman"/>
          <w:color w:val="000000"/>
          <w:sz w:val="20"/>
        </w:rPr>
        <w:t>Packaging Corporation of America</w:t>
      </w:r>
    </w:p>
    <w:p>
      <w:pPr>
        <w:pStyle w:val="TextBody"/>
        <w:bidi w:val="0"/>
        <w:jc w:val="both"/>
        <w:rPr>
          <w:rFonts w:ascii="Times New Roman" w:hAnsi="Times New Roman"/>
          <w:color w:val="000000"/>
          <w:sz w:val="20"/>
        </w:rPr>
      </w:pPr>
      <w:r>
        <w:rPr>
          <w:rFonts w:ascii="Times New Roman" w:hAnsi="Times New Roman"/>
          <w:color w:val="000000"/>
          <w:sz w:val="20"/>
        </w:rPr>
        <w:t>INVESTOR RELATIONS: (877) 454-2509</w:t>
      </w:r>
    </w:p>
    <w:p>
      <w:pPr>
        <w:pStyle w:val="TextBody"/>
        <w:bidi w:val="0"/>
        <w:jc w:val="both"/>
        <w:rPr>
          <w:rFonts w:ascii="Times New Roman" w:hAnsi="Times New Roman"/>
          <w:sz w:val="20"/>
        </w:rPr>
      </w:pPr>
      <w:r>
        <w:rPr>
          <w:rFonts w:ascii="Times New Roman" w:hAnsi="Times New Roman"/>
          <w:color w:val="000000"/>
          <w:sz w:val="20"/>
        </w:rPr>
        <w:t xml:space="preserve">PCA’s Website: </w:t>
      </w:r>
      <w:r>
        <w:rPr>
          <w:rFonts w:ascii="Times New Roman" w:hAnsi="Times New Roman"/>
          <w:sz w:val="20"/>
        </w:rPr>
        <w:t>www.packagingcorp.com</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Conference Call Information</w:t>
      </w:r>
      <w:r>
        <w:rPr>
          <w:rFonts w:ascii="Times New Roman" w:hAnsi="Times New Roman"/>
          <w:b/>
          <w:color w:val="000000"/>
          <w:sz w:val="20"/>
        </w:rPr>
        <w:t>:</w:t>
      </w:r>
    </w:p>
    <w:tbl>
      <w:tblPr>
        <w:tblW w:w="10205" w:type="dxa"/>
        <w:jc w:val="left"/>
        <w:tblInd w:w="0" w:type="dxa"/>
        <w:tblLayout w:type="fixed"/>
        <w:tblCellMar>
          <w:top w:w="28" w:type="dxa"/>
          <w:left w:w="28" w:type="dxa"/>
          <w:bottom w:w="28" w:type="dxa"/>
          <w:right w:w="28" w:type="dxa"/>
        </w:tblCellMar>
      </w:tblPr>
      <w:tblGrid>
        <w:gridCol w:w="4969"/>
        <w:gridCol w:w="5236"/>
      </w:tblGrid>
      <w:tr>
        <w:trPr/>
        <w:tc>
          <w:tcPr>
            <w:tcW w:w="4969"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WHAT:</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Packaging Corporation of America’s 3rd Quarter 2026 Earnings Conference Call</w:t>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Conference ID: Packaging Corporation of America</w:t>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WHEN:</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Thursday, October 22, 2026 at 9:00am Eastern Time</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PRE-REGISTRATION:</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https://dpregister.com/sreg/10205357/102fc34e0c7</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i/>
                <w:color w:val="000000"/>
                <w:sz w:val="20"/>
              </w:rPr>
            </w:pPr>
            <w:r>
              <w:rPr>
                <w:rFonts w:ascii="Times New Roman" w:hAnsi="Times New Roman"/>
                <w:b/>
                <w:i/>
                <w:color w:val="000000"/>
                <w:sz w:val="20"/>
              </w:rPr>
              <w:t>OR</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CALL-IN NUMBER:</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(833) 816-1102 (U.S.); (866) 605-3852 (Canada) or (412) 317-0684 (International)</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1008"/>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1008"/>
              <w:jc w:val="both"/>
              <w:rPr>
                <w:rFonts w:ascii="Times New Roman" w:hAnsi="Times New Roman"/>
                <w:color w:val="000000"/>
                <w:sz w:val="20"/>
              </w:rPr>
            </w:pPr>
            <w:r>
              <w:rPr>
                <w:rFonts w:ascii="Times New Roman" w:hAnsi="Times New Roman"/>
                <w:color w:val="000000"/>
                <w:sz w:val="20"/>
              </w:rPr>
              <w:t>Dial in by 8:45am Eastern Time</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WEBCAST INFO:</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sz w:val="20"/>
              </w:rPr>
            </w:pPr>
            <w:r>
              <w:rPr>
                <w:rFonts w:ascii="Times New Roman" w:hAnsi="Times New Roman"/>
                <w:sz w:val="20"/>
              </w:rPr>
              <w:t>www.packagingcorp.com</w:t>
            </w:r>
            <w:r>
              <w:rPr>
                <w:rFonts w:ascii="Times New Roman" w:hAnsi="Times New Roman"/>
                <w:color w:val="000000"/>
                <w:sz w:val="20"/>
              </w:rPr>
              <w:t>;</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DATES:</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October 22, 2026 through November 5, 2026</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pPr>
            <w:r>
              <w:rPr/>
              <w:t> </w:t>
            </w:r>
          </w:p>
        </w:tc>
      </w:tr>
      <w:tr>
        <w:trPr/>
        <w:tc>
          <w:tcPr>
            <w:tcW w:w="4969"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NUMBERS:</w:t>
            </w:r>
          </w:p>
        </w:tc>
        <w:tc>
          <w:tcPr>
            <w:tcW w:w="5236" w:type="dxa"/>
            <w:tcBorders/>
            <w:tcMar>
              <w:top w:w="0" w:type="dxa"/>
              <w:left w:w="0" w:type="dxa"/>
              <w:bottom w:w="0" w:type="dxa"/>
              <w:right w:w="0" w:type="dxa"/>
            </w:tcMar>
            <w:vAlign w:val="center"/>
          </w:tcPr>
          <w:p>
            <w:pPr>
              <w:pStyle w:val="TableContents"/>
              <w:bidi w:val="0"/>
              <w:spacing w:before="0" w:after="283"/>
              <w:ind w:left="0" w:right="0" w:firstLine="2880"/>
              <w:jc w:val="both"/>
              <w:rPr>
                <w:rFonts w:ascii="Times New Roman" w:hAnsi="Times New Roman"/>
                <w:color w:val="000000"/>
                <w:sz w:val="20"/>
              </w:rPr>
            </w:pPr>
            <w:r>
              <w:rPr>
                <w:rFonts w:ascii="Times New Roman" w:hAnsi="Times New Roman"/>
                <w:color w:val="000000"/>
                <w:sz w:val="20"/>
              </w:rPr>
              <w:t>(855) 669-9658 (U.S. and Canada); (412) 317-0088 (International)</w:t>
            </w:r>
          </w:p>
        </w:tc>
      </w:tr>
      <w:tr>
        <w:trPr/>
        <w:tc>
          <w:tcPr>
            <w:tcW w:w="49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Passcode: 8981933</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Consolidated Earnings Results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 except per-share data)</w:t>
      </w:r>
    </w:p>
    <w:p>
      <w:pPr>
        <w:pStyle w:val="TextBody"/>
        <w:bidi w:val="0"/>
        <w:jc w:val="center"/>
        <w:rPr/>
      </w:pPr>
      <w:r>
        <w:rPr/>
        <w:t> </w:t>
      </w:r>
    </w:p>
    <w:tbl>
      <w:tblPr>
        <w:tblW w:w="9247" w:type="dxa"/>
        <w:jc w:val="left"/>
        <w:tblInd w:w="0" w:type="dxa"/>
        <w:tblLayout w:type="fixed"/>
        <w:tblCellMar>
          <w:top w:w="28" w:type="dxa"/>
          <w:left w:w="28" w:type="dxa"/>
          <w:bottom w:w="28" w:type="dxa"/>
          <w:right w:w="28" w:type="dxa"/>
        </w:tblCellMar>
      </w:tblPr>
      <w:tblGrid>
        <w:gridCol w:w="3286"/>
        <w:gridCol w:w="211"/>
        <w:gridCol w:w="781"/>
        <w:gridCol w:w="166"/>
        <w:gridCol w:w="271"/>
        <w:gridCol w:w="211"/>
        <w:gridCol w:w="781"/>
        <w:gridCol w:w="166"/>
        <w:gridCol w:w="271"/>
        <w:gridCol w:w="211"/>
        <w:gridCol w:w="781"/>
        <w:gridCol w:w="166"/>
        <w:gridCol w:w="271"/>
        <w:gridCol w:w="211"/>
        <w:gridCol w:w="781"/>
        <w:gridCol w:w="166"/>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color w:val="000000"/>
                <w:sz w:val="13"/>
              </w:rPr>
            </w:pPr>
            <w:r>
              <w:rPr>
                <w:rFonts w:ascii="Times New Roman" w:hAnsi="Times New Roman"/>
                <w:color w:val="000000"/>
                <w:sz w:val="13"/>
              </w:rPr>
              <w:t>(2)</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color w:val="000000"/>
                <w:sz w:val="13"/>
              </w:rPr>
            </w:pPr>
            <w:r>
              <w:rPr>
                <w:rFonts w:ascii="Times New Roman" w:hAnsi="Times New Roman"/>
                <w:color w:val="000000"/>
                <w:sz w:val="13"/>
              </w:rPr>
              <w:t>(2)</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share: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047" w:type="dxa"/>
        <w:jc w:val="left"/>
        <w:tblInd w:w="0" w:type="dxa"/>
        <w:tblLayout w:type="fixed"/>
        <w:tblCellMar>
          <w:top w:w="28" w:type="dxa"/>
          <w:left w:w="28" w:type="dxa"/>
          <w:bottom w:w="28" w:type="dxa"/>
          <w:right w:w="28" w:type="dxa"/>
        </w:tblCellMar>
      </w:tblPr>
      <w:tblGrid>
        <w:gridCol w:w="5626"/>
        <w:gridCol w:w="211"/>
        <w:gridCol w:w="571"/>
        <w:gridCol w:w="166"/>
        <w:gridCol w:w="146"/>
        <w:gridCol w:w="211"/>
        <w:gridCol w:w="571"/>
        <w:gridCol w:w="166"/>
        <w:gridCol w:w="146"/>
        <w:gridCol w:w="211"/>
        <w:gridCol w:w="571"/>
        <w:gridCol w:w="166"/>
        <w:gridCol w:w="146"/>
        <w:gridCol w:w="211"/>
        <w:gridCol w:w="571"/>
        <w:gridCol w:w="166"/>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Computation of diluted earnings per share under the two class method:</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Distributed and undistributed income available to participating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PCA shareholders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 average shares outstanding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8672" w:type="dxa"/>
        <w:jc w:val="left"/>
        <w:tblInd w:w="0" w:type="dxa"/>
        <w:tblLayout w:type="fixed"/>
        <w:tblCellMar>
          <w:top w:w="28" w:type="dxa"/>
          <w:left w:w="28" w:type="dxa"/>
          <w:bottom w:w="28" w:type="dxa"/>
          <w:right w:w="28" w:type="dxa"/>
        </w:tblCellMar>
      </w:tblPr>
      <w:tblGrid>
        <w:gridCol w:w="4131"/>
        <w:gridCol w:w="211"/>
        <w:gridCol w:w="571"/>
        <w:gridCol w:w="146"/>
        <w:gridCol w:w="146"/>
        <w:gridCol w:w="211"/>
        <w:gridCol w:w="571"/>
        <w:gridCol w:w="146"/>
        <w:gridCol w:w="146"/>
        <w:gridCol w:w="211"/>
        <w:gridCol w:w="571"/>
        <w:gridCol w:w="146"/>
        <w:gridCol w:w="146"/>
        <w:gridCol w:w="211"/>
        <w:gridCol w:w="571"/>
        <w:gridCol w:w="146"/>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financial information:</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spending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marketable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The three and nine months ended September 30, 2026 include the following:</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$6.2 million and $23.1 million, respectively, of charges consisting of closure costs related to corrugated products facilities and the write-off of expenditures related to sustainability and renewable energy projects. The costs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$3.0 million and $9.8 million, respectively, of charges for acquisition and integration costs related to recent acquisitions. The costs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w:t>
      </w:r>
    </w:p>
    <w:p>
      <w:pPr>
        <w:pStyle w:val="TextBody"/>
        <w:bidi w:val="0"/>
        <w:jc w:val="both"/>
        <w:rPr>
          <w:rFonts w:ascii="Times New Roman" w:hAnsi="Times New Roman"/>
          <w:color w:val="000000"/>
          <w:sz w:val="18"/>
        </w:rPr>
      </w:pPr>
      <w:r>
        <w:rPr>
          <w:rFonts w:ascii="Times New Roman" w:hAnsi="Times New Roman"/>
          <w:color w:val="000000"/>
          <w:sz w:val="18"/>
        </w:rPr>
        <w:t>$3.0 million of charges related to fire damage at a corrugated products facility. The costs were recorded in “Other expense, net.”</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d.</w:t>
      </w:r>
    </w:p>
    <w:p>
      <w:pPr>
        <w:pStyle w:val="TextBody"/>
        <w:bidi w:val="0"/>
        <w:jc w:val="both"/>
        <w:rPr>
          <w:rFonts w:ascii="Times New Roman" w:hAnsi="Times New Roman"/>
          <w:color w:val="000000"/>
          <w:sz w:val="18"/>
        </w:rPr>
      </w:pPr>
      <w:r>
        <w:rPr>
          <w:rFonts w:ascii="Times New Roman" w:hAnsi="Times New Roman"/>
          <w:color w:val="000000"/>
          <w:sz w:val="18"/>
        </w:rPr>
        <w:t>$0.3 million and $60.0 million, respectively, of charges related to the announced discontinuation of the No. 2 machine and kraft pulping facilities at the Wallula, Washington containerboard mill. The costs were recorded in “Cost of sales” and “Other expense, net”, as appropriate.</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The three and nine months ended September 30, 2025 include the following:</w:t>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$1.3 million of charges and $17.5 million of income, respectively, related to the closure of certain corrugated products facilities. For the three months ended September 30, 2025, the charges were partially offset by a gain on an asset disposal related to a closed corrugated products facility. For the nine months ended September 30, 2025, the charges were completely offset by gains from the sales of closed corrugated products facilities during the second quarter of 2025. These items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 xml:space="preserve">$25.0 million and $26.6 million, respectively, of charges for acquisition and integration costs related to the announced Greif, Inc. acquisition, which were recorded in “Cost of sales” and “Other expense, net”, as appropriate.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Segment Information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9451" w:type="dxa"/>
        <w:jc w:val="left"/>
        <w:tblInd w:w="0" w:type="dxa"/>
        <w:tblLayout w:type="fixed"/>
        <w:tblCellMar>
          <w:top w:w="28" w:type="dxa"/>
          <w:left w:w="28" w:type="dxa"/>
          <w:bottom w:w="28" w:type="dxa"/>
          <w:right w:w="28" w:type="dxa"/>
        </w:tblCellMar>
      </w:tblPr>
      <w:tblGrid>
        <w:gridCol w:w="4576"/>
        <w:gridCol w:w="211"/>
        <w:gridCol w:w="721"/>
        <w:gridCol w:w="166"/>
        <w:gridCol w:w="146"/>
        <w:gridCol w:w="211"/>
        <w:gridCol w:w="721"/>
        <w:gridCol w:w="166"/>
        <w:gridCol w:w="146"/>
        <w:gridCol w:w="211"/>
        <w:gridCol w:w="721"/>
        <w:gridCol w:w="166"/>
        <w:gridCol w:w="146"/>
        <w:gridCol w:w="211"/>
        <w:gridCol w:w="72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sales</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operating income (loss)</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Segment operating income (loss) excluding special items</w:t>
            </w:r>
            <w:r>
              <w:rPr>
                <w:rFonts w:ascii="Times New Roman" w:hAnsi="Times New Roman"/>
                <w:color w:val="000000"/>
                <w:sz w:val="18"/>
              </w:rPr>
              <w:t> </w:t>
            </w:r>
            <w:r>
              <w:rPr>
                <w:rFonts w:ascii="Times New Roman" w:hAnsi="Times New Roman"/>
                <w:b/>
                <w:color w:val="000000"/>
                <w:sz w:val="12"/>
              </w:rPr>
              <w:t>(1)</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sz w:val="18"/>
        </w:rPr>
      </w:pPr>
      <w:r>
        <w:rPr>
          <w:rFonts w:ascii="Times New Roman" w:hAnsi="Times New Roman"/>
          <w:color w:val="000000"/>
          <w:sz w:val="18"/>
        </w:rPr>
        <w:t>Income (loss) from operations excluding special items, segment operating income (loss) excluding special items, earnings before non-operating pension income, interest, income taxes, and depreciation, amortization, and depletion (EBITDA), segment EBITDA, EBITDA excluding special items, and segment EBITDA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The tables included in "Reconciliation of Non-GAAP Financial Measures" on the following pages reconcile the non-GAAP measures with the most directly comparable GAAP measures. Any analysis of non-GAAP financial measures should be done only in conjunction with results presented in accordance with GAAP.</w:t>
      </w:r>
      <w:r>
        <w:rPr>
          <w:rFonts w:ascii="Times New Roman" w:hAnsi="Times New Roman"/>
          <w:color w:val="1F497D"/>
          <w:sz w:val="18"/>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8361" w:type="dxa"/>
        <w:jc w:val="left"/>
        <w:tblInd w:w="0" w:type="dxa"/>
        <w:tblLayout w:type="fixed"/>
        <w:tblCellMar>
          <w:top w:w="28" w:type="dxa"/>
          <w:left w:w="28" w:type="dxa"/>
          <w:bottom w:w="28" w:type="dxa"/>
          <w:right w:w="28" w:type="dxa"/>
        </w:tblCellMar>
      </w:tblPr>
      <w:tblGrid>
        <w:gridCol w:w="3991"/>
        <w:gridCol w:w="196"/>
        <w:gridCol w:w="511"/>
        <w:gridCol w:w="166"/>
        <w:gridCol w:w="146"/>
        <w:gridCol w:w="196"/>
        <w:gridCol w:w="511"/>
        <w:gridCol w:w="166"/>
        <w:gridCol w:w="146"/>
        <w:gridCol w:w="196"/>
        <w:gridCol w:w="646"/>
        <w:gridCol w:w="166"/>
        <w:gridCol w:w="146"/>
        <w:gridCol w:w="196"/>
        <w:gridCol w:w="571"/>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Corrugated products facility fire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Segment operating income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953.6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Segment operating income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96.9</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Segment operating loss excluding special items </w:t>
            </w:r>
            <w:r>
              <w:rPr>
                <w:rFonts w:ascii="Times New Roman" w:hAnsi="Times New Roman"/>
                <w:color w:val="000000"/>
                <w:sz w:val="12"/>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operations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938.5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 xml:space="preserve">Income from operations, excluding special items </w:t>
            </w:r>
            <w:r>
              <w:rPr>
                <w:rFonts w:ascii="Times New Roman" w:hAnsi="Times New Roman"/>
                <w:b/>
                <w:color w:val="000000"/>
                <w:sz w:val="12"/>
              </w:rPr>
              <w:t>(1)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3,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(dollars in millions)</w:t>
      </w:r>
    </w:p>
    <w:p>
      <w:pPr>
        <w:pStyle w:val="TextBody"/>
        <w:bidi w:val="0"/>
        <w:spacing w:lineRule="auto" w:line="360"/>
        <w:jc w:val="center"/>
        <w:rPr>
          <w:rFonts w:ascii="Times New Roman" w:hAnsi="Times New Roman"/>
          <w:sz w:val="13"/>
        </w:rPr>
      </w:pPr>
      <w:r>
        <w:rPr>
          <w:rFonts w:ascii="Times New Roman" w:hAnsi="Times New Roman"/>
          <w:b/>
          <w:i/>
          <w:color w:val="000000"/>
          <w:sz w:val="20"/>
        </w:rPr>
        <w:t>Net Income Excluding Special Items and EPS Excluding Special Items</w:t>
      </w:r>
      <w:r>
        <w:rPr>
          <w:rFonts w:ascii="Times New Roman" w:hAnsi="Times New Roman"/>
          <w:color w:val="000000"/>
          <w:sz w:val="13"/>
        </w:rPr>
        <w:t xml:space="preserve"> (1)</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54"/>
        <w:gridCol w:w="257"/>
        <w:gridCol w:w="621"/>
        <w:gridCol w:w="146"/>
        <w:gridCol w:w="146"/>
        <w:gridCol w:w="207"/>
        <w:gridCol w:w="552"/>
        <w:gridCol w:w="151"/>
        <w:gridCol w:w="146"/>
        <w:gridCol w:w="196"/>
        <w:gridCol w:w="474"/>
        <w:gridCol w:w="146"/>
        <w:gridCol w:w="146"/>
        <w:gridCol w:w="213"/>
        <w:gridCol w:w="426"/>
        <w:gridCol w:w="146"/>
        <w:gridCol w:w="146"/>
        <w:gridCol w:w="257"/>
        <w:gridCol w:w="621"/>
        <w:gridCol w:w="151"/>
        <w:gridCol w:w="146"/>
        <w:gridCol w:w="207"/>
        <w:gridCol w:w="552"/>
        <w:gridCol w:w="151"/>
        <w:gridCol w:w="146"/>
        <w:gridCol w:w="196"/>
        <w:gridCol w:w="474"/>
        <w:gridCol w:w="151"/>
        <w:gridCol w:w="146"/>
        <w:gridCol w:w="206"/>
        <w:gridCol w:w="462"/>
        <w:gridCol w:w="366"/>
      </w:tblGrid>
      <w:tr>
        <w:trPr/>
        <w:tc>
          <w:tcPr>
            <w:tcW w:w="18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September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 reported in accordance with GAAP</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4"/>
              </w:rPr>
            </w:pPr>
            <w:r>
              <w:rPr>
                <w:rFonts w:ascii="Times New Roman" w:hAnsi="Times New Roman"/>
                <w:color w:val="000000"/>
                <w:sz w:val="14"/>
              </w:rPr>
              <w:t xml:space="preserve">Special items </w:t>
            </w:r>
            <w:r>
              <w:rPr>
                <w:rFonts w:ascii="Times New Roman" w:hAnsi="Times New Roman"/>
                <w:color w:val="000000"/>
                <w:sz w:val="9"/>
              </w:rPr>
              <w:t>(2)</w:t>
            </w:r>
            <w:r>
              <w:rPr>
                <w:rFonts w:ascii="Times New Roman" w:hAnsi="Times New Roman"/>
                <w:color w:val="000000"/>
                <w:sz w:val="14"/>
              </w:rPr>
              <w:t>:</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Facilities closure and other costs</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Acquisition and integration-related costs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Corrugated products facility fire</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Wallula mill restructuring</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special items</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Excluding special items</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September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 reported in accordance with GAAP</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4"/>
              </w:rPr>
            </w:pPr>
            <w:r>
              <w:rPr>
                <w:rFonts w:ascii="Times New Roman" w:hAnsi="Times New Roman"/>
                <w:color w:val="000000"/>
                <w:sz w:val="14"/>
              </w:rPr>
              <w:t xml:space="preserve">Special items </w:t>
            </w:r>
            <w:r>
              <w:rPr>
                <w:rFonts w:ascii="Times New Roman" w:hAnsi="Times New Roman"/>
                <w:color w:val="000000"/>
                <w:sz w:val="9"/>
              </w:rPr>
              <w:t>(2)</w:t>
            </w:r>
            <w:r>
              <w:rPr>
                <w:rFonts w:ascii="Times New Roman" w:hAnsi="Times New Roman"/>
                <w:color w:val="000000"/>
                <w:sz w:val="14"/>
              </w:rPr>
              <w:t>:</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Facilities closure and other costs (income)</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Acquisition and integration-related costs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Wallula mill restructuring</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Corrugated products facility fire</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special items</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Excluding special items</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902.4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679.1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7.52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sz w:val="18"/>
        </w:rPr>
      </w:pPr>
      <w:r>
        <w:rPr>
          <w:rFonts w:ascii="Times New Roman" w:hAnsi="Times New Roman"/>
          <w:color w:val="000000"/>
          <w:sz w:val="18"/>
        </w:rPr>
        <w:t>Net income excluding special items and earnings per share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their performance. Any analysis of non-GAAP financial measures should be done</w:t>
      </w:r>
      <w:r>
        <w:rPr>
          <w:rFonts w:ascii="Times New Roman" w:hAnsi="Times New Roman"/>
          <w:color w:val="1F497D"/>
          <w:sz w:val="18"/>
        </w:rPr>
        <w:t xml:space="preserve"> </w:t>
      </w:r>
      <w:r>
        <w:rPr>
          <w:rFonts w:ascii="Times New Roman" w:hAnsi="Times New Roman"/>
          <w:color w:val="000000"/>
          <w:sz w:val="18"/>
        </w:rPr>
        <w:t>only in conjunction with results presented in accordance with GAAP.</w:t>
      </w:r>
      <w:r>
        <w:rPr>
          <w:rFonts w:ascii="Times New Roman" w:hAnsi="Times New Roman"/>
          <w:color w:val="1F497D"/>
          <w:sz w:val="18"/>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sz w:val="18"/>
        </w:rPr>
      </w:pPr>
      <w:r>
        <w:rPr>
          <w:rFonts w:ascii="Times New Roman" w:hAnsi="Times New Roman"/>
          <w:color w:val="000000"/>
          <w:sz w:val="18"/>
        </w:rPr>
        <w:t xml:space="preserve">Pre-tax special items are tax-effected at a combined federal and state income tax rate in effect for the period the special items were recorded and this rate is adjusted for each subsequent quarter to be consistent with the estimated annual effective tax rate, in accordance with ASC 270, </w:t>
      </w:r>
      <w:r>
        <w:rPr>
          <w:rFonts w:ascii="Times New Roman" w:hAnsi="Times New Roman"/>
          <w:i/>
          <w:color w:val="000000"/>
          <w:sz w:val="18"/>
        </w:rPr>
        <w:t>Interim Reporting</w:t>
      </w:r>
      <w:r>
        <w:rPr>
          <w:rFonts w:ascii="Times New Roman" w:hAnsi="Times New Roman"/>
          <w:color w:val="000000"/>
          <w:sz w:val="18"/>
        </w:rPr>
        <w:t xml:space="preserve">, and ASC 740-270, </w:t>
      </w:r>
      <w:r>
        <w:rPr>
          <w:rFonts w:ascii="Times New Roman" w:hAnsi="Times New Roman"/>
          <w:i/>
          <w:color w:val="000000"/>
          <w:sz w:val="18"/>
        </w:rPr>
        <w:t>Income Taxes – Intra Period Tax Allocation</w:t>
      </w:r>
      <w:r>
        <w:rPr>
          <w:rFonts w:ascii="Times New Roman" w:hAnsi="Times New Roman"/>
          <w:color w:val="000000"/>
          <w:sz w:val="18"/>
        </w:rPr>
        <w:t>. For all periods presented, income taxes on pre-tax special items represent the current amount of tax. For more information related to these items, see the footnotes to the Consolidated Earnings Results on page 1.</w:t>
      </w:r>
    </w:p>
    <w:p>
      <w:pPr>
        <w:pStyle w:val="TextBody"/>
        <w:bidi w:val="0"/>
        <w:spacing w:before="120" w:after="283"/>
        <w:jc w:val="both"/>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spacing w:lineRule="auto" w:line="360" w:before="0" w:after="200"/>
        <w:jc w:val="center"/>
        <w:rPr>
          <w:rFonts w:ascii="Times New Roman" w:hAnsi="Times New Roman"/>
          <w:sz w:val="13"/>
        </w:rPr>
      </w:pPr>
      <w:r>
        <w:rPr>
          <w:rFonts w:ascii="Times New Roman" w:hAnsi="Times New Roman"/>
          <w:b/>
          <w:i/>
          <w:color w:val="000000"/>
          <w:sz w:val="20"/>
        </w:rPr>
        <w:t>EBITDA and EBITDA Excluding Special Items</w:t>
      </w:r>
      <w:r>
        <w:rPr>
          <w:rFonts w:ascii="Times New Roman" w:hAnsi="Times New Roman"/>
          <w:color w:val="000000"/>
          <w:sz w:val="13"/>
        </w:rPr>
        <w:t xml:space="preserve"> (1)</w:t>
      </w:r>
    </w:p>
    <w:p>
      <w:pPr>
        <w:pStyle w:val="TextBody"/>
        <w:bidi w:val="0"/>
        <w:jc w:val="both"/>
        <w:rPr>
          <w:rFonts w:ascii="Times New Roman" w:hAnsi="Times New Roman"/>
          <w:color w:val="000000"/>
          <w:sz w:val="20"/>
        </w:rPr>
      </w:pPr>
      <w:r>
        <w:rPr>
          <w:rFonts w:ascii="Times New Roman" w:hAnsi="Times New Roman"/>
          <w:color w:val="000000"/>
          <w:sz w:val="20"/>
        </w:rPr>
        <w:t>EBITDA represents income before non-operating pension income, interest, income taxes, and depreciation, amortization, and depletion. The following table reconciles net income to EBITDA and EBITDA excluding special items:</w:t>
      </w:r>
    </w:p>
    <w:p>
      <w:pPr>
        <w:pStyle w:val="TextBody"/>
        <w:bidi w:val="0"/>
        <w:jc w:val="left"/>
        <w:rPr/>
      </w:pPr>
      <w:r>
        <w:rPr/>
        <w:t> </w:t>
      </w:r>
    </w:p>
    <w:tbl>
      <w:tblPr>
        <w:tblW w:w="8046" w:type="dxa"/>
        <w:jc w:val="left"/>
        <w:tblInd w:w="0" w:type="dxa"/>
        <w:tblLayout w:type="fixed"/>
        <w:tblCellMar>
          <w:top w:w="28" w:type="dxa"/>
          <w:left w:w="28" w:type="dxa"/>
          <w:bottom w:w="28" w:type="dxa"/>
          <w:right w:w="28" w:type="dxa"/>
        </w:tblCellMar>
      </w:tblPr>
      <w:tblGrid>
        <w:gridCol w:w="3291"/>
        <w:gridCol w:w="211"/>
        <w:gridCol w:w="571"/>
        <w:gridCol w:w="166"/>
        <w:gridCol w:w="146"/>
        <w:gridCol w:w="211"/>
        <w:gridCol w:w="571"/>
        <w:gridCol w:w="146"/>
        <w:gridCol w:w="146"/>
        <w:gridCol w:w="211"/>
        <w:gridCol w:w="721"/>
        <w:gridCol w:w="166"/>
        <w:gridCol w:w="146"/>
        <w:gridCol w:w="211"/>
        <w:gridCol w:w="721"/>
        <w:gridCol w:w="411"/>
      </w:tblGrid>
      <w:tr>
        <w:trPr/>
        <w:tc>
          <w:tcPr>
            <w:tcW w:w="3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 xml:space="preserve">EBITDA </w:t>
            </w:r>
            <w:r>
              <w:rPr>
                <w:rFonts w:ascii="Times New Roman" w:hAnsi="Times New Roman"/>
                <w:b/>
                <w:color w:val="000000"/>
                <w:sz w:val="12"/>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Corrugated products facility fire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1,375.3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3,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segment operating income (loss) to segment EBITDA and segment EBITDA excluding special items:</w:t>
      </w:r>
    </w:p>
    <w:p>
      <w:pPr>
        <w:pStyle w:val="TextBody"/>
        <w:bidi w:val="0"/>
        <w:jc w:val="both"/>
        <w:rPr/>
      </w:pPr>
      <w:r>
        <w:rPr/>
        <w:t> </w:t>
      </w:r>
    </w:p>
    <w:tbl>
      <w:tblPr>
        <w:tblW w:w="8066" w:type="dxa"/>
        <w:jc w:val="left"/>
        <w:tblInd w:w="0" w:type="dxa"/>
        <w:tblLayout w:type="fixed"/>
        <w:tblCellMar>
          <w:top w:w="28" w:type="dxa"/>
          <w:left w:w="28" w:type="dxa"/>
          <w:bottom w:w="28" w:type="dxa"/>
          <w:right w:w="28" w:type="dxa"/>
        </w:tblCellMar>
      </w:tblPr>
      <w:tblGrid>
        <w:gridCol w:w="3291"/>
        <w:gridCol w:w="211"/>
        <w:gridCol w:w="571"/>
        <w:gridCol w:w="166"/>
        <w:gridCol w:w="146"/>
        <w:gridCol w:w="211"/>
        <w:gridCol w:w="571"/>
        <w:gridCol w:w="166"/>
        <w:gridCol w:w="146"/>
        <w:gridCol w:w="211"/>
        <w:gridCol w:w="721"/>
        <w:gridCol w:w="166"/>
        <w:gridCol w:w="146"/>
        <w:gridCol w:w="211"/>
        <w:gridCol w:w="721"/>
        <w:gridCol w:w="411"/>
      </w:tblGrid>
      <w:tr>
        <w:trPr/>
        <w:tc>
          <w:tcPr>
            <w:tcW w:w="3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w:t>
            </w:r>
          </w:p>
        </w:tc>
        <w:tc>
          <w:tcPr>
            <w:tcW w:w="4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 (income)</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Corrugated products facility fire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Wallula mill restructuring</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577.7</w:t>
            </w:r>
          </w:p>
        </w:tc>
        <w:tc>
          <w:tcPr>
            <w:tcW w:w="166"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491.8</w:t>
            </w:r>
          </w:p>
        </w:tc>
        <w:tc>
          <w:tcPr>
            <w:tcW w:w="166"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1,548.0</w:t>
            </w:r>
          </w:p>
        </w:tc>
        <w:tc>
          <w:tcPr>
            <w:tcW w:w="166"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top w:val="single" w:sz="4" w:space="0" w:color="000000"/>
              <w:bottom w:val="double" w:sz="6" w:space="0" w:color="000000"/>
            </w:tcBorders>
            <w:shd w:fill="CFF0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1,354.0</w:t>
            </w:r>
          </w:p>
        </w:tc>
        <w:tc>
          <w:tcPr>
            <w:tcW w:w="411" w:type="dxa"/>
            <w:tcBorders>
              <w:top w:val="single" w:sz="4" w:space="0" w:color="000000"/>
            </w:tcBorders>
            <w:shd w:fill="CFF0FF" w:val="clear"/>
            <w:tcMar>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1" w:type="dxa"/>
            <w:tcBorders>
              <w:bottom w:val="single" w:sz="4"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and integration-related costs</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1" w:type="dxa"/>
            <w:tcBorders/>
            <w:shd w:fill="CFF0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closure and other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(110.1</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577.2</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503.4</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1,548.3</w:t>
            </w:r>
          </w:p>
        </w:tc>
        <w:tc>
          <w:tcPr>
            <w:tcW w:w="166"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1,375.3</w:t>
            </w:r>
          </w:p>
        </w:tc>
        <w:tc>
          <w:tcPr>
            <w:tcW w:w="411" w:type="dxa"/>
            <w:tcBorders>
              <w:bottom w:val="double" w:sz="6" w:space="0" w:color="000000"/>
            </w:tcBorders>
            <w:shd w:fill="CFF0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3,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4050</Words>
  <Characters>21724</Characters>
  <CharactersWithSpaces>26448</CharactersWithSpaces>
  <Paragraphs>2901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