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201295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21"/>
          <w:szCs w:val="21"/>
          <w:b w:val="1"/>
          <w:bCs w:val="1"/>
          <w:color w:val="auto"/>
        </w:rPr>
        <w:t>ANNUAL REPORT PURSUANT TO SECTION 15(d) OF THE SECURITIES EXCHANGE ACT</w:t>
      </w:r>
    </w:p>
    <w:p>
      <w:pPr>
        <w:spacing w:after="0" w:line="12"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OF 1934</w:t>
      </w:r>
    </w:p>
    <w:p>
      <w:pPr>
        <w:spacing w:after="0" w:line="16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9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15(d) OF THE SECURITIES EXCHANGE</w:t>
      </w:r>
    </w:p>
    <w:p>
      <w:pPr>
        <w:spacing w:after="0" w:line="12"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ACT OF 1934</w:t>
      </w:r>
    </w:p>
    <w:p>
      <w:pPr>
        <w:spacing w:after="0" w:line="160" w:lineRule="exact"/>
        <w:rPr>
          <w:sz w:val="24"/>
          <w:szCs w:val="24"/>
          <w:color w:val="auto"/>
        </w:rPr>
      </w:pPr>
    </w:p>
    <w:p>
      <w:pPr>
        <w:ind w:left="28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3295015</wp:posOffset>
            </wp:positionH>
            <wp:positionV relativeFrom="paragraph">
              <wp:posOffset>-5080</wp:posOffset>
            </wp:positionV>
            <wp:extent cx="457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6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Commission file number 1-15399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225425</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40" w:hanging="43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181"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Thrift Plan for Hourly Employees</w:t>
      </w:r>
    </w:p>
    <w:p>
      <w:pPr>
        <w:spacing w:after="0" w:line="166" w:lineRule="exact"/>
        <w:rPr>
          <w:sz w:val="24"/>
          <w:szCs w:val="24"/>
          <w:color w:val="auto"/>
        </w:rPr>
      </w:pPr>
    </w:p>
    <w:p>
      <w:pPr>
        <w:ind w:left="440" w:hanging="436"/>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the issuer of the securities held pursuant to the plan and the address of its principal executive office:</w:t>
      </w:r>
    </w:p>
    <w:p>
      <w:pPr>
        <w:spacing w:after="0" w:line="19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1 North Field Court</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Lake Forest, IL 60045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644525</wp:posOffset>
            </wp:positionV>
            <wp:extent cx="70377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151765</wp:posOffset>
            </wp:positionV>
            <wp:extent cx="6172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168910</wp:posOffset>
            </wp:positionV>
            <wp:extent cx="6172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460"/>
          </w:cols>
          <w:pgMar w:left="1080" w:top="1118" w:right="1359" w:bottom="1440" w:gutter="0" w:footer="0" w:header="0"/>
        </w:sectPr>
      </w:pPr>
    </w:p>
    <w:bookmarkStart w:id="1" w:name="page2"/>
    <w:bookmarkEnd w:id="1"/>
    <w:p>
      <w:pPr>
        <w:ind w:left="3500"/>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Thrift Plan for Hourly Employees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A. Financial Statements</w:t>
            </w:r>
          </w:p>
        </w:tc>
        <w:tc>
          <w:tcPr>
            <w:tcW w:w="6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9100" w:type="dxa"/>
            <w:vAlign w:val="bottom"/>
            <w:gridSpan w:val="9"/>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5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20" w:type="dxa"/>
            <w:vAlign w:val="bottom"/>
            <w:tcBorders>
              <w:top w:val="single" w:sz="8" w:color="0000FF"/>
            </w:tcBorders>
            <w:gridSpan w:val="4"/>
          </w:tcPr>
          <w:p>
            <w:pPr>
              <w:ind w:left="500"/>
              <w:spacing w:after="0"/>
              <w:rPr>
                <w:sz w:val="20"/>
                <w:szCs w:val="20"/>
                <w:color w:val="auto"/>
              </w:rPr>
            </w:pPr>
            <w:r>
              <w:rPr>
                <w:rFonts w:ascii="Times New Roman" w:cs="Times New Roman" w:eastAsia="Times New Roman" w:hAnsi="Times New Roman"/>
                <w:sz w:val="18"/>
                <w:szCs w:val="18"/>
                <w:color w:val="auto"/>
              </w:rPr>
              <w:t>Financial Statements:</w:t>
            </w:r>
          </w:p>
        </w:tc>
        <w:tc>
          <w:tcPr>
            <w:tcW w:w="4340" w:type="dxa"/>
            <w:vAlign w:val="bottom"/>
            <w:gridSpan w:val="3"/>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FF"/>
              </w:rPr>
              <w:t>Statements of Net Assets Available for Benefits</w:t>
            </w:r>
          </w:p>
        </w:tc>
        <w:tc>
          <w:tcPr>
            <w:tcW w:w="6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3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Statement of Changes in Net Assets Available for Benefits</w:t>
            </w:r>
          </w:p>
        </w:tc>
        <w:tc>
          <w:tcPr>
            <w:tcW w:w="352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Financial Statements</w:t>
            </w:r>
          </w:p>
        </w:tc>
        <w:tc>
          <w:tcPr>
            <w:tcW w:w="5640" w:type="dxa"/>
            <w:vAlign w:val="bottom"/>
            <w:gridSpan w:val="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8"/>
        </w:trPr>
        <w:tc>
          <w:tcPr>
            <w:tcW w:w="9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 Supplemental Schedule*</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5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Schedule H, Line 4i — Schedule of Assets (Held at End of Year)</w:t>
            </w:r>
          </w:p>
        </w:tc>
        <w:tc>
          <w:tcPr>
            <w:tcW w:w="6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1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color w:val="0000FF"/>
              </w:rPr>
              <w:t>Index to Exhibits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Schedules required by Form 5500 that are not applicable have not been included.</w:t>
      </w:r>
    </w:p>
    <w:p>
      <w:pPr>
        <w:spacing w:after="0" w:line="1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2" w:name="page3"/>
    <w:bookmarkEnd w:id="2"/>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Plan Participants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Packaging Corporation of America Thrift Plan for Hourly Employees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Packaging Corporation of America Thrift Plan for Hourly Employees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6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schedule of assets (held at end of year) as of December 31, 2025 (“supplemental information”)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2026</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Thrift Plan for Hourly Employees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Plan’s interest in Master Trust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1,458,721,397</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1,262,435,669</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42,816,747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39,196,501</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receivable: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1,401,287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1,784,524</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Participants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1,208,115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1,504,147,546</w:t>
            </w: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1,303,416,694</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Administrative expenses payable</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203,630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173,661</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Refund of excess contributions</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14,898</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00" w:type="dxa"/>
            <w:vAlign w:val="bottom"/>
          </w:tcPr>
          <w:p>
            <w:pPr>
              <w:spacing w:after="0"/>
              <w:rPr>
                <w:sz w:val="18"/>
                <w:szCs w:val="18"/>
                <w:color w:val="auto"/>
              </w:rPr>
            </w:pPr>
          </w:p>
        </w:tc>
      </w:tr>
      <w:tr>
        <w:trPr>
          <w:trHeight w:val="209"/>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218,528</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1,503,929,018</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1,303,237,495</w:t>
            </w:r>
          </w:p>
        </w:tc>
        <w:tc>
          <w:tcPr>
            <w:tcW w:w="10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-170815</wp:posOffset>
            </wp:positionV>
            <wp:extent cx="60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-170815</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Thrift Plan for Hourly Employees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6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0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income from Master Trust</w:t>
            </w:r>
          </w:p>
        </w:tc>
        <w:tc>
          <w:tcPr>
            <w:tcW w:w="22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210,033,039</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from notes receivable from participants</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2,532,253</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1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Participants</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62,049,563</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1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60,428,608</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Rollover</w:t>
            </w:r>
          </w:p>
        </w:tc>
        <w:tc>
          <w:tcPr>
            <w:tcW w:w="1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1,210,387</w:t>
            </w:r>
          </w:p>
        </w:tc>
        <w:tc>
          <w:tcPr>
            <w:tcW w:w="100" w:type="dxa"/>
            <w:vAlign w:val="bottom"/>
          </w:tcPr>
          <w:p>
            <w:pPr>
              <w:spacing w:after="0"/>
              <w:rPr>
                <w:sz w:val="18"/>
                <w:szCs w:val="18"/>
                <w:color w:val="auto"/>
              </w:rPr>
            </w:pPr>
          </w:p>
        </w:tc>
      </w:tr>
      <w:tr>
        <w:trPr>
          <w:trHeight w:val="209"/>
        </w:trPr>
        <w:tc>
          <w:tcPr>
            <w:tcW w:w="60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contributions</w:t>
            </w:r>
          </w:p>
        </w:tc>
        <w:tc>
          <w:tcPr>
            <w:tcW w:w="19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123,688,558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(133,943,055)</w:t>
            </w: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(1,619,272)</w:t>
            </w:r>
          </w:p>
        </w:tc>
      </w:tr>
      <w:tr>
        <w:trPr>
          <w:trHeight w:val="209"/>
        </w:trPr>
        <w:tc>
          <w:tcPr>
            <w:tcW w:w="6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increase</w:t>
            </w:r>
          </w:p>
        </w:tc>
        <w:tc>
          <w:tcPr>
            <w:tcW w:w="19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200,691,523</w:t>
            </w:r>
          </w:p>
        </w:tc>
        <w:tc>
          <w:tcPr>
            <w:tcW w:w="100" w:type="dxa"/>
            <w:vAlign w:val="bottom"/>
            <w:tcBorders>
              <w:top w:val="single" w:sz="8" w:color="CFF0FC"/>
            </w:tcBorders>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of year</w:t>
            </w:r>
          </w:p>
        </w:tc>
        <w:tc>
          <w:tcPr>
            <w:tcW w:w="1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1,303,237,495</w:t>
            </w:r>
          </w:p>
        </w:tc>
        <w:tc>
          <w:tcPr>
            <w:tcW w:w="100" w:type="dxa"/>
            <w:vAlign w:val="bottom"/>
          </w:tcPr>
          <w:p>
            <w:pPr>
              <w:spacing w:after="0"/>
              <w:rPr>
                <w:sz w:val="18"/>
                <w:szCs w:val="18"/>
                <w:color w:val="auto"/>
              </w:rPr>
            </w:pPr>
          </w:p>
        </w:tc>
      </w:tr>
      <w:tr>
        <w:trPr>
          <w:trHeight w:val="249"/>
        </w:trPr>
        <w:tc>
          <w:tcPr>
            <w:tcW w:w="6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End of year</w:t>
            </w:r>
          </w:p>
        </w:tc>
        <w:tc>
          <w:tcPr>
            <w:tcW w:w="19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1,503,929,018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6106160</wp:posOffset>
            </wp:positionH>
            <wp:positionV relativeFrom="paragraph">
              <wp:posOffset>-873760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-591185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-25400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-7620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Thrift Plan for Hourly Employees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Plan</w:t>
      </w:r>
    </w:p>
    <w:p>
      <w:pPr>
        <w:spacing w:after="0" w:line="121"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The following description of the Packaging Corporation of America Thrift Plan for Hourly Employees (the “Plan”) provides general information. The Plan Sponsor is Packaging Corporation of America (the “Company” or “PCA”). Participants should refer to the Plan document, including the special appendix sections (“Special Appendix”), for a more complete description of eligibility requirements, contribution limits, Company matching contributions, and vesting provisions. There is a Special Appendix for each Company location.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360" w:firstLine="441"/>
        <w:spacing w:after="0" w:line="258" w:lineRule="auto"/>
        <w:rPr>
          <w:sz w:val="20"/>
          <w:szCs w:val="20"/>
          <w:color w:val="auto"/>
        </w:rPr>
      </w:pPr>
      <w:r>
        <w:rPr>
          <w:rFonts w:ascii="Times New Roman" w:cs="Times New Roman" w:eastAsia="Times New Roman" w:hAnsi="Times New Roman"/>
          <w:sz w:val="18"/>
          <w:szCs w:val="18"/>
          <w:color w:val="auto"/>
        </w:rPr>
        <w:t>The Plan is a defined contribution plan, established on February 1, 2000, and is subject to the provisions of the Employee Retirement Income Security Act of 1974, as amended (“ERISA”). The Plan covers eligible hourly employees of the Company, its subsidiaries, and the covered groups that have adopted the Plan. The Benefits Administration Committee is responsible for the oversight of the Plan. The Investment Committee determines the appropriateness of the Plan’s investment offerings and monitors investment performance. Both committees are appointed by the Board of Directors of the Company.</w:t>
      </w:r>
    </w:p>
    <w:p>
      <w:pPr>
        <w:spacing w:after="0" w:line="183" w:lineRule="exact"/>
        <w:rPr>
          <w:sz w:val="20"/>
          <w:szCs w:val="20"/>
          <w:color w:val="auto"/>
        </w:rPr>
      </w:pPr>
    </w:p>
    <w:p>
      <w:pPr>
        <w:ind w:right="440" w:firstLine="441"/>
        <w:spacing w:after="0" w:line="282" w:lineRule="auto"/>
        <w:rPr>
          <w:sz w:val="20"/>
          <w:szCs w:val="20"/>
          <w:color w:val="auto"/>
        </w:rPr>
      </w:pPr>
      <w:r>
        <w:rPr>
          <w:rFonts w:ascii="Times New Roman" w:cs="Times New Roman" w:eastAsia="Times New Roman" w:hAnsi="Times New Roman"/>
          <w:sz w:val="18"/>
          <w:szCs w:val="18"/>
          <w:color w:val="auto"/>
        </w:rPr>
        <w:t>Alight Solutions is the Plan’s recordkeeper. Northern Trust is the Plan’s trustee and custodian. Mercer is an ERISA §3(38) investment advisor to the Plan.</w:t>
      </w:r>
    </w:p>
    <w:p>
      <w:pPr>
        <w:spacing w:after="0" w:line="162"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Plan adopted certain voluntary provisions under the Setting Every Community Up for Retirement Enhancement 2.0 Act of 2022 (“SECURE 2.0 Act”), as discussed below. The SECURE 2.0 Act is legislation designed to enhance retirement savings and update the regulatory framework for qualified retirement plans.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Upon hire, eligible employees receive written notice of the automatic enrollment process into the Plan, which occurs 45 days after the date of hire. Automatic enrollment will not occur if the employee decides to enroll prior to the automatic enrollment date or if the employee opts out of participation in the Plan. Additionally, the Plan includes an automatic escalation feature that increases participants’ contribution rates over time to a maximum contribution rate of 10% unless participants opt out or elect a different rate.</w:t>
      </w:r>
    </w:p>
    <w:p>
      <w:pPr>
        <w:spacing w:after="0" w:line="180"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Eligible employees electing to participate in the Plan may make salary deferral contributions through payroll deductions based upon the deferral percentage limits specified in each covered Special Appendix that vary by geographic location, with such contributions limited to $23,500 in 2025 for employees under age 50, and $31,000 in 2025 for employees aged 50 and older. Effective January 1, 2025, the Plan adopted the optional provision under the SECURE 2.0 Act that permits a catch-up contribution limit of $34,750 for employees aged 60 to 63. Employees aged 64 and older remain at the same contribution limit of $31,000 effective for those aged 50 and older.</w:t>
      </w:r>
    </w:p>
    <w:p>
      <w:pPr>
        <w:spacing w:after="0" w:line="187"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The Company contributes on behalf of the participants a matching contribution equal to an amount detailed in each location’s Special Appendix. The Company’s matching contributions are invested in the Plan’s investment funds based on the participant investment elections.</w:t>
      </w:r>
    </w:p>
    <w:p>
      <w:pPr>
        <w:spacing w:after="0" w:line="176" w:lineRule="exact"/>
        <w:rPr>
          <w:sz w:val="20"/>
          <w:szCs w:val="20"/>
          <w:color w:val="auto"/>
        </w:rPr>
      </w:pPr>
    </w:p>
    <w:p>
      <w:pPr>
        <w:ind w:right="240" w:firstLine="441"/>
        <w:spacing w:after="0" w:line="266" w:lineRule="auto"/>
        <w:rPr>
          <w:sz w:val="20"/>
          <w:szCs w:val="20"/>
          <w:color w:val="auto"/>
        </w:rPr>
      </w:pPr>
      <w:r>
        <w:rPr>
          <w:rFonts w:ascii="Times New Roman" w:cs="Times New Roman" w:eastAsia="Times New Roman" w:hAnsi="Times New Roman"/>
          <w:sz w:val="18"/>
          <w:szCs w:val="18"/>
          <w:color w:val="auto"/>
        </w:rPr>
        <w:t>The Company makes a retirement savings contribution to certain eligible employees of up to 6.5% of compensation based on years of service and/or age, as defined in the location’s Special Appendix. This contribution is made on behalf of the employee regardless of whether or not the employee is contributing to the Plan.</w:t>
      </w:r>
    </w:p>
    <w:p>
      <w:pPr>
        <w:spacing w:after="0" w:line="176"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Participants may make Roth contributions to the Plan, which are after-tax contributions whose earnings are not taxable upon qualified distribution.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121"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contributions, Company contributions, and an allocation of Plan earnings or losses. The benefit to which a participant is entitled is the benefit that can be provided from the participant’s account.</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981" w:right="11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Participants are 100% vested immediately in the value of their contributions, earnings thereon and rollovers from other qualified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w:t>
      </w:r>
    </w:p>
    <w:p>
      <w:pPr>
        <w:spacing w:after="0" w:line="207"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The Company’s matching contribution and the retirement savings contribution, and earnings thereon, vest at a rate specified in each Special Appendix. To the extent a participant is not 100% vested in the Company’s matching contributions or retirement savings contribution, upon attainment of age 65 or termination of employment due to death or permanent disability, a participant will become 100% vested in the Company’s matching contributions and retirement savings contributions. Forfeited non-vested accounts are applied to reduce future Company contributions.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Options</w:t>
      </w:r>
    </w:p>
    <w:p>
      <w:pPr>
        <w:spacing w:after="0" w:line="121" w:lineRule="exact"/>
        <w:rPr>
          <w:sz w:val="20"/>
          <w:szCs w:val="20"/>
          <w:color w:val="auto"/>
        </w:rPr>
      </w:pPr>
    </w:p>
    <w:p>
      <w:pPr>
        <w:jc w:val="both"/>
        <w:ind w:right="180" w:firstLine="441"/>
        <w:spacing w:after="0" w:line="266" w:lineRule="auto"/>
        <w:rPr>
          <w:sz w:val="20"/>
          <w:szCs w:val="20"/>
          <w:color w:val="auto"/>
        </w:rPr>
      </w:pPr>
      <w:r>
        <w:rPr>
          <w:rFonts w:ascii="Times New Roman" w:cs="Times New Roman" w:eastAsia="Times New Roman" w:hAnsi="Times New Roman"/>
          <w:sz w:val="18"/>
          <w:szCs w:val="18"/>
          <w:color w:val="auto"/>
        </w:rPr>
        <w:t>Participants may elect to invest their account balances in any of the available investment options provided by the Plan through the PCA Defined Contribution Master Trust (the “Master Trust”). Participants may change their investment options on any business day, subject to certain short-term trading restrictions outlined in the Plan document.</w:t>
      </w:r>
    </w:p>
    <w:p>
      <w:pPr>
        <w:spacing w:after="0" w:line="176"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The portion of the Plan’s interest in the Master Trust currently invested in the PCA Common Stock Fund, and any future employee or employer contributions used to acquire PCA common stock, is invested in the Employee Stock Ownership Plan (“ESOP”) component of the Plan. Plan participants may instruct the Plan’s trustee to distribute future cash dividends paid on shares of PCA common stock credited to their PCA common stock ESOP directly to them. The election to receive cash dividends is made through the PCA Benefits Center, and dividends will be reported as taxable income.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Payments</w:t>
      </w:r>
    </w:p>
    <w:p>
      <w:pPr>
        <w:spacing w:after="0" w:line="121"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In the event of retirement (as defined in the Plan), death, permanent disability, or termination of employment, the vested balance in the participant’s account will generally be distributed to the participant or the participant’s beneficiary in a single lump-sum cash payment. The portion of the participant’s account invested in the PCA Common Stock Fund will be distributed in cash unless elected to be distributed in kind. In-service withdrawals of rollover contributions and related earnings and certain predecessor plan account balances, as defined, are available for any reason.</w:t>
      </w:r>
    </w:p>
    <w:p>
      <w:pPr>
        <w:spacing w:after="0" w:line="183"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Certain participants, as specified in each covered location’s Special Appendix, who have attained age 55 may elect an in-service withdrawal from their vested Company matching contribution account. Participants, as specified in each location’s Special Appendix, who have attained age 59 1/2 may elect to withdraw all or part of their account balance. A participant’s entire account balance shall be distributed no later than April 1 following the later of the calendar year in which the participant attains age 72 or the calendar year in which the participant’s termination of employment occurs.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121" w:lineRule="exact"/>
        <w:rPr>
          <w:sz w:val="20"/>
          <w:szCs w:val="20"/>
          <w:color w:val="auto"/>
        </w:rPr>
      </w:pPr>
    </w:p>
    <w:p>
      <w:pPr>
        <w:jc w:val="both"/>
        <w:ind w:right="180" w:firstLine="441"/>
        <w:spacing w:after="0" w:line="266" w:lineRule="auto"/>
        <w:rPr>
          <w:sz w:val="20"/>
          <w:szCs w:val="20"/>
          <w:color w:val="auto"/>
        </w:rPr>
      </w:pPr>
      <w:r>
        <w:rPr>
          <w:rFonts w:ascii="Times New Roman" w:cs="Times New Roman" w:eastAsia="Times New Roman" w:hAnsi="Times New Roman"/>
          <w:sz w:val="18"/>
          <w:szCs w:val="18"/>
          <w:color w:val="auto"/>
        </w:rPr>
        <w:t>Participant accounts are charged $12.50 per quarter for administrative expenses. If administrative expenses exceed the amount paid by participants, the Company will pay the difference. Administrative expenses primarily include recordkeeper fees, investment management expenses, and professional service fees.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Certain participants, as specified in each covered location’s Special Appendix, may borrow an amount up to the lesser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 or 50% of their vested account balance. The minimum loan amount is $1,000. Such loans bear interest at the prime rate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published by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and are secured by the participant’s account balance in the Plan. Loans must be repaid within 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with principal and interest payments made primarily through payroll deductions. There may be primary residence loans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 the 60-month repayment period but only if they were transferred in from another plan. There may also be loans with repayment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schedules affected by COVID-related relief that exceed the 60-month repayment period. Employees on an unpaid leave may continue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repay loans via check, money order, or online debit during their period of absence. Participants also have the ability to elect to make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one-time repayment of their outstanding loan balance, of which the payment can be made via check, money order, or online debit.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may take up to two general purpose loans at a time. A loan is considered in default and becomes a taxable event when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is not current at the end of the cure period, the quarter following the quarter in which the payment was missed.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rates on loans outstanding in the Plan at both December 31, 2025 and 2024 ranged from 3.25% to 9.25%.</w:t>
      </w:r>
    </w:p>
    <w:p>
      <w:pPr>
        <w:spacing w:after="0" w:line="11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05" w:right="10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Forfeited Accounts</w:t>
      </w:r>
    </w:p>
    <w:p>
      <w:pPr>
        <w:spacing w:after="0" w:line="121" w:lineRule="exact"/>
        <w:rPr>
          <w:sz w:val="20"/>
          <w:szCs w:val="20"/>
          <w:color w:val="auto"/>
        </w:rPr>
      </w:pPr>
    </w:p>
    <w:p>
      <w:pPr>
        <w:jc w:val="both"/>
        <w:ind w:right="40" w:firstLine="441"/>
        <w:spacing w:after="0" w:line="266" w:lineRule="auto"/>
        <w:rPr>
          <w:sz w:val="20"/>
          <w:szCs w:val="20"/>
          <w:color w:val="auto"/>
        </w:rPr>
      </w:pPr>
      <w:r>
        <w:rPr>
          <w:rFonts w:ascii="Times New Roman" w:cs="Times New Roman" w:eastAsia="Times New Roman" w:hAnsi="Times New Roman"/>
          <w:sz w:val="18"/>
          <w:szCs w:val="18"/>
          <w:color w:val="auto"/>
        </w:rPr>
        <w:t>At December 31, 2025 and 2024, forfeited non-vested accounts totaled approximately $2,593,000 and $3,048,000, respectively. These accounts will be used to reduce future employer contributions. In 2025, employer contributions were reduced by approximately $3,733,000 for forfeited non-vested accounts.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Termination</w:t>
      </w:r>
    </w:p>
    <w:p>
      <w:pPr>
        <w:spacing w:after="0" w:line="121"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subject to the provisions of ERISA. In the event of Plan termination, participants will become 100% vested in the Company’s matching and retirement savings contributions and earnings thereon.</w:t>
      </w:r>
    </w:p>
    <w:p>
      <w:pPr>
        <w:spacing w:after="0" w:line="280" w:lineRule="exact"/>
        <w:rPr>
          <w:sz w:val="20"/>
          <w:szCs w:val="20"/>
          <w:color w:val="auto"/>
        </w:rPr>
      </w:pPr>
    </w:p>
    <w:p>
      <w:pPr>
        <w:ind w:right="7140" w:firstLine="4"/>
        <w:spacing w:after="0" w:line="378"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Basis of Accounting</w:t>
      </w: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statements have been prepared on the accrual basis of accounting.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121"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The Plan’s beneficial interest in the Master Trust represents the Plan’s share of the Master Trust’s investments stated at fair value (except for fully-benefit responsive investment contracts, which are reported at contract value). Fair value is defined as the price that would be received to sell an asset or paid to transfer a liability in an orderly transaction between market participants at the measurement date (an exit price). Contract value is the amount that participants would receive if they were to initiate permitted transactions under the terms of the Plan. See Note 3 for further discussion and disclosures related to fair value and contract value measurements.</w:t>
      </w:r>
    </w:p>
    <w:p>
      <w:pPr>
        <w:spacing w:after="0" w:line="187"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Purchases and sales of securities in the Master Trust are recorded on the settlement date. Interest income within the Master Trust is recorded on the accrual basis. Dividends within the Master Trust are recorded on the ex-dividend date. Net appreciation/depreciation in the Master Trust includes the gains and losses on investments bought and sold as well as held during the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420" w:firstLine="441"/>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the Plan Administrator to make estimates and assumptions that affect the amounts reported in the financial statements and accompanying notes.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Participant contributions are allocated to participant accounts when the Company remits payroll deductions from eligible Plan participants. Participant and employer contributions are recorded in the year in which participant compensation is earned.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Payments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Benefit payments are recorded when paid.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Notes receivable from participants represent participant loans that are recorded at their unpaid principal balance plus any accrued but unpaid interest. Interest income on notes receivable from participants is recorded when it is earned. Related fees are recorded as administrative expenses and are expensed when they are incurred. If a participant ceases to make loan repayments and the provisions of the Plan document deem the participant loan to be a distribution, the participant loan balance is reduced and a benefit payment is recorded.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 in Master Trust</w:t>
      </w:r>
    </w:p>
    <w:p>
      <w:pPr>
        <w:spacing w:after="0" w:line="121"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The Master Trust includes assets of the Plan and the Packaging Corporation of America Retirement Savings Plan for Salaried Employees. All of the Plan’s investments are invested in the Master Trust. The purpose of the Master Trust is the collective investment of assets of the participating plans. Each participating plan’s interest in the Master Trust is based on the aggregate account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305" w:right="1119" w:bottom="1440" w:gutter="0" w:footer="0" w:header="0"/>
        </w:sectPr>
      </w:pPr>
    </w:p>
    <w:bookmarkStart w:id="8" w:name="page9"/>
    <w:bookmarkEnd w:id="8"/>
    <w:p>
      <w:pPr>
        <w:ind w:left="660" w:right="680"/>
        <w:spacing w:after="0" w:line="261" w:lineRule="auto"/>
        <w:rPr>
          <w:sz w:val="20"/>
          <w:szCs w:val="20"/>
          <w:color w:val="auto"/>
        </w:rPr>
      </w:pPr>
      <w:r>
        <w:rPr>
          <w:rFonts w:ascii="Times New Roman" w:cs="Times New Roman" w:eastAsia="Times New Roman" w:hAnsi="Times New Roman"/>
          <w:sz w:val="18"/>
          <w:szCs w:val="18"/>
          <w:color w:val="auto"/>
        </w:rPr>
        <w:t>balances of the participants in the respective participating plan. The Master Trust specifically identifies contributions, benefit payments, and plan-specific expenses attributable to each participating plan. Investment gains (losses) are allocated to each participating plan in the Master Trust on a daily basis based on each plan’s divided interest in the Master Trust. At December 31, 2025 and 2024, the Plan’s interest in the net assets of the Master Trust was $1,458,721,397 and $1,262,435,669, respectively.</w:t>
      </w:r>
    </w:p>
    <w:p>
      <w:pPr>
        <w:spacing w:after="0" w:line="180" w:lineRule="exact"/>
        <w:rPr>
          <w:sz w:val="20"/>
          <w:szCs w:val="20"/>
          <w:color w:val="auto"/>
        </w:rPr>
      </w:pPr>
    </w:p>
    <w:p>
      <w:pPr>
        <w:ind w:left="660" w:right="68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investments and other assets and liabilities of the Master Trust and the Plan’s divided interest in the Master Trust as of December 31, 2025:</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 Divided</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Master Trust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Master Trust</w:t>
            </w: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0" w:type="dxa"/>
            <w:vAlign w:val="bottom"/>
          </w:tcPr>
          <w:p>
            <w:pPr>
              <w:spacing w:after="0"/>
              <w:rPr>
                <w:sz w:val="1"/>
                <w:szCs w:val="1"/>
                <w:color w:val="auto"/>
              </w:rPr>
            </w:pPr>
          </w:p>
        </w:tc>
      </w:tr>
      <w:tr>
        <w:trPr>
          <w:trHeight w:val="210"/>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Master Trust investments, at fair value:</w:t>
            </w: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68,568,900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31,975,215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Company common stock</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224,735,489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53,207,831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Collective trust funds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1,796,495,832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752,350,653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Target date collective funds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858,158,743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525,375,298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 funds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7,947,737</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3,600,071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Master Trust investments, at fair value</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2,955,906,701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1,366,509,068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Master Trust investments, at contract value (a):</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Synthetic guaranteed investment contracts</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181,495,804</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92,212,329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Master Trust 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3,137,402,505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1,458,721,397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5316220</wp:posOffset>
            </wp:positionH>
            <wp:positionV relativeFrom="paragraph">
              <wp:posOffset>-170815</wp:posOffset>
            </wp:positionV>
            <wp:extent cx="514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6233795</wp:posOffset>
            </wp:positionH>
            <wp:positionV relativeFrom="paragraph">
              <wp:posOffset>-170815</wp:posOffset>
            </wp:positionV>
            <wp:extent cx="514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left="660" w:right="68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investments and other assets and liabilities of the Master Trust and the Plan’s divided interest in the Master Trust as of December 31, 2024:</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 Divided</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Master Trust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Master Trust</w:t>
            </w: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0" w:type="dxa"/>
            <w:vAlign w:val="bottom"/>
          </w:tcPr>
          <w:p>
            <w:pPr>
              <w:spacing w:after="0"/>
              <w:rPr>
                <w:sz w:val="1"/>
                <w:szCs w:val="1"/>
                <w:color w:val="auto"/>
              </w:rPr>
            </w:pPr>
          </w:p>
        </w:tc>
      </w:tr>
      <w:tr>
        <w:trPr>
          <w:trHeight w:val="210"/>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Master Trust investments, at fair value:</w:t>
            </w: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63,933,022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27,586,928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Company common stock</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249,819,280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59,721,693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Collective trust funds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1,505,906,782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608,135,359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Target date collective funds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763,362,777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461,319,853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 funds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10,243,503</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4,449,936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Master Trust investments, at fair value</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2,593,265,364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1,161,213,769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Master Trust investments, at contract value (a):</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Synthetic guaranteed investment contracts</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202,398,484</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101,221,900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Master Trust 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2,795,663,848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1,262,435,669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5316220</wp:posOffset>
            </wp:positionH>
            <wp:positionV relativeFrom="paragraph">
              <wp:posOffset>-170815</wp:posOffset>
            </wp:positionV>
            <wp:extent cx="514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6233795</wp:posOffset>
            </wp:positionH>
            <wp:positionV relativeFrom="paragraph">
              <wp:posOffset>-170815</wp:posOffset>
            </wp:positionV>
            <wp:extent cx="514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left="1100" w:right="860" w:hanging="436"/>
        <w:spacing w:after="0" w:line="282" w:lineRule="auto"/>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Master Trust holds a portfolio of synthetic guaranteed investment contracts within the PCA Stable Value Fund, which are measured at contract value and are therefore not included in the calculation of total net assets at fair value.</w:t>
      </w:r>
    </w:p>
    <w:p>
      <w:pPr>
        <w:spacing w:after="0" w:line="161"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for the Master Trust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60" w:type="dxa"/>
            <w:vAlign w:val="bottom"/>
            <w:gridSpan w:val="3"/>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60" w:type="dxa"/>
            <w:vAlign w:val="bottom"/>
            <w:gridSpan w:val="3"/>
          </w:tcPr>
          <w:p>
            <w:pPr>
              <w:jc w:val="center"/>
              <w:ind w:right="18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64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40" w:type="dxa"/>
            <w:vAlign w:val="bottom"/>
          </w:tcPr>
          <w:p>
            <w:pPr>
              <w:spacing w:after="0"/>
              <w:rPr>
                <w:sz w:val="18"/>
                <w:szCs w:val="18"/>
                <w:color w:val="auto"/>
              </w:rPr>
            </w:pPr>
          </w:p>
        </w:tc>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5,778,134</w:t>
            </w:r>
          </w:p>
        </w:tc>
        <w:tc>
          <w:tcPr>
            <w:tcW w:w="80" w:type="dxa"/>
            <w:vAlign w:val="bottom"/>
            <w:shd w:val="clear" w:color="auto" w:fill="CFF0FC"/>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5,771,277</w:t>
            </w: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and unrealized appreciation in fair value of investments</w:t>
            </w: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418,595,482</w:t>
            </w:r>
          </w:p>
        </w:tc>
        <w:tc>
          <w:tcPr>
            <w:tcW w:w="80" w:type="dxa"/>
            <w:vAlign w:val="bottom"/>
            <w:tcBorders>
              <w:bottom w:val="single" w:sz="8" w:color="CFF0FC"/>
            </w:tcBorders>
            <w:shd w:val="clear" w:color="auto" w:fill="CFF0FC"/>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430,144,893</w:t>
            </w: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jc w:val="right"/>
              <w:ind w:right="235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80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64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5933440</wp:posOffset>
            </wp:positionH>
            <wp:positionV relativeFrom="paragraph">
              <wp:posOffset>-1010920</wp:posOffset>
            </wp:positionV>
            <wp:extent cx="431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040"/>
          </w:cols>
          <w:pgMar w:left="420" w:top="1093" w:right="4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21" w:lineRule="exact"/>
        <w:rPr>
          <w:sz w:val="20"/>
          <w:szCs w:val="20"/>
          <w:color w:val="auto"/>
        </w:rPr>
      </w:pPr>
    </w:p>
    <w:p>
      <w:pPr>
        <w:ind w:left="660" w:right="940" w:firstLine="441"/>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(i.e., an exit price). The fair value hierarchy prioritizes the inputs to valuation techniques used to measure fair value. The hierarchy gives the highest priority to unadjusted quoted prices in active markets for identical assets and liabilities (Level 1) and the lowest priority to unobservable inputs (Level 3). The three levels of the fair value hierarchy are described below:</w:t>
      </w:r>
    </w:p>
    <w:p>
      <w:pPr>
        <w:spacing w:after="0" w:line="75" w:lineRule="exact"/>
        <w:rPr>
          <w:sz w:val="20"/>
          <w:szCs w:val="20"/>
          <w:color w:val="auto"/>
        </w:rPr>
      </w:pPr>
    </w:p>
    <w:p>
      <w:pPr>
        <w:ind w:left="1100" w:right="1020"/>
        <w:spacing w:after="0" w:line="282" w:lineRule="auto"/>
        <w:rPr>
          <w:sz w:val="20"/>
          <w:szCs w:val="20"/>
          <w:color w:val="auto"/>
        </w:rPr>
      </w:pPr>
      <w:r>
        <w:rPr>
          <w:rFonts w:ascii="Times New Roman" w:cs="Times New Roman" w:eastAsia="Times New Roman" w:hAnsi="Times New Roman"/>
          <w:sz w:val="18"/>
          <w:szCs w:val="18"/>
          <w:color w:val="auto"/>
        </w:rPr>
        <w:t>Level 1 — Unadjusted quoted prices in active markets that are accessible to the reporting entity at the measurement date for identical assets and liabilities.</w:t>
      </w:r>
    </w:p>
    <w:p>
      <w:pPr>
        <w:spacing w:after="0" w:line="54" w:lineRule="exact"/>
        <w:rPr>
          <w:sz w:val="20"/>
          <w:szCs w:val="20"/>
          <w:color w:val="auto"/>
        </w:rPr>
      </w:pPr>
    </w:p>
    <w:p>
      <w:pPr>
        <w:ind w:left="1100" w:right="760"/>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prices in active markets for identical assets and liabilities that are observable either directly or indirectly for substantially the full term of the asset or liability. Level 2 inputs include the following:</w:t>
      </w:r>
    </w:p>
    <w:p>
      <w:pPr>
        <w:spacing w:after="0" w:line="54" w:lineRule="exact"/>
        <w:rPr>
          <w:sz w:val="20"/>
          <w:szCs w:val="20"/>
          <w:color w:val="auto"/>
        </w:rPr>
      </w:pPr>
    </w:p>
    <w:p>
      <w:pPr>
        <w:ind w:left="1680" w:hanging="225"/>
        <w:spacing w:after="0"/>
        <w:tabs>
          <w:tab w:leader="none" w:pos="1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and liabilities in active markets</w:t>
      </w:r>
    </w:p>
    <w:p>
      <w:pPr>
        <w:spacing w:after="0" w:line="117" w:lineRule="exact"/>
        <w:rPr>
          <w:rFonts w:ascii="Times New Roman" w:cs="Times New Roman" w:eastAsia="Times New Roman" w:hAnsi="Times New Roman"/>
          <w:sz w:val="18"/>
          <w:szCs w:val="18"/>
          <w:color w:val="auto"/>
        </w:rPr>
      </w:pPr>
    </w:p>
    <w:p>
      <w:pPr>
        <w:ind w:left="1680" w:hanging="225"/>
        <w:spacing w:after="0"/>
        <w:tabs>
          <w:tab w:leader="none" w:pos="1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markets that are not active</w:t>
      </w:r>
    </w:p>
    <w:p>
      <w:pPr>
        <w:spacing w:after="0" w:line="117" w:lineRule="exact"/>
        <w:rPr>
          <w:rFonts w:ascii="Times New Roman" w:cs="Times New Roman" w:eastAsia="Times New Roman" w:hAnsi="Times New Roman"/>
          <w:sz w:val="18"/>
          <w:szCs w:val="18"/>
          <w:color w:val="auto"/>
        </w:rPr>
      </w:pPr>
    </w:p>
    <w:p>
      <w:pPr>
        <w:ind w:left="1680" w:right="720" w:hanging="225"/>
        <w:spacing w:after="0" w:line="282" w:lineRule="auto"/>
        <w:tabs>
          <w:tab w:leader="none" w:pos="1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Observable inputs other than quoted prices that are used in the valuation of the assets or liabilities (e.g., interest rate and yield curve quotes at commonly quoted intervals)</w:t>
      </w:r>
    </w:p>
    <w:p>
      <w:pPr>
        <w:spacing w:after="0" w:line="53" w:lineRule="exact"/>
        <w:rPr>
          <w:rFonts w:ascii="Times New Roman" w:cs="Times New Roman" w:eastAsia="Times New Roman" w:hAnsi="Times New Roman"/>
          <w:sz w:val="18"/>
          <w:szCs w:val="18"/>
          <w:color w:val="auto"/>
        </w:rPr>
      </w:pPr>
    </w:p>
    <w:p>
      <w:pPr>
        <w:ind w:left="1680" w:hanging="225"/>
        <w:spacing w:after="0"/>
        <w:tabs>
          <w:tab w:leader="none" w:pos="1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225" w:lineRule="exact"/>
        <w:rPr>
          <w:sz w:val="20"/>
          <w:szCs w:val="20"/>
          <w:color w:val="auto"/>
        </w:rPr>
      </w:pPr>
    </w:p>
    <w:p>
      <w:pPr>
        <w:ind w:left="1100" w:right="900"/>
        <w:spacing w:after="0" w:line="266" w:lineRule="auto"/>
        <w:rPr>
          <w:sz w:val="20"/>
          <w:szCs w:val="20"/>
          <w:color w:val="auto"/>
        </w:rPr>
      </w:pPr>
      <w:r>
        <w:rPr>
          <w:rFonts w:ascii="Times New Roman" w:cs="Times New Roman" w:eastAsia="Times New Roman" w:hAnsi="Times New Roman"/>
          <w:sz w:val="18"/>
          <w:szCs w:val="18"/>
          <w:color w:val="auto"/>
        </w:rPr>
        <w:t>Level 3 — Unobservable inputs for the asset or liability (i.e., supported by little or no market activity). Level 3 inputs include management’s own assumption about the assumptions that market participants would use in pricing the asset or liability (including assumptions about risk).</w:t>
      </w:r>
    </w:p>
    <w:p>
      <w:pPr>
        <w:spacing w:after="0" w:line="176" w:lineRule="exact"/>
        <w:rPr>
          <w:sz w:val="20"/>
          <w:szCs w:val="20"/>
          <w:color w:val="auto"/>
        </w:rPr>
      </w:pPr>
    </w:p>
    <w:p>
      <w:pPr>
        <w:ind w:left="660" w:right="900" w:firstLine="441"/>
        <w:spacing w:after="0" w:line="282" w:lineRule="auto"/>
        <w:rPr>
          <w:sz w:val="20"/>
          <w:szCs w:val="20"/>
          <w:color w:val="auto"/>
        </w:rPr>
      </w:pPr>
      <w:r>
        <w:rPr>
          <w:rFonts w:ascii="Times New Roman" w:cs="Times New Roman" w:eastAsia="Times New Roman" w:hAnsi="Times New Roman"/>
          <w:sz w:val="18"/>
          <w:szCs w:val="18"/>
          <w:color w:val="auto"/>
        </w:rPr>
        <w:t>Assets that are measured at fair value using the net asset value (“NAV”) per share as a practical expedient are not categorized within the fair value hierarchy.</w:t>
      </w:r>
    </w:p>
    <w:p>
      <w:pPr>
        <w:spacing w:after="0" w:line="162" w:lineRule="exact"/>
        <w:rPr>
          <w:sz w:val="20"/>
          <w:szCs w:val="20"/>
          <w:color w:val="auto"/>
        </w:rPr>
      </w:pPr>
    </w:p>
    <w:p>
      <w:pPr>
        <w:ind w:left="660" w:right="1000" w:firstLine="441"/>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the fair value measurement is classified is determined based on the lowest level of input that is significant to the fair value measurement in its entirety.</w:t>
      </w:r>
    </w:p>
    <w:p>
      <w:pPr>
        <w:spacing w:after="0" w:line="162" w:lineRule="exact"/>
        <w:rPr>
          <w:sz w:val="20"/>
          <w:szCs w:val="20"/>
          <w:color w:val="auto"/>
        </w:rPr>
      </w:pPr>
    </w:p>
    <w:p>
      <w:pPr>
        <w:ind w:left="660" w:right="680" w:firstLine="441"/>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valuation techniques and inputs used for each major class of asset measured to estimate fair value by the Master Trust.</w:t>
      </w:r>
    </w:p>
    <w:p>
      <w:pPr>
        <w:spacing w:after="0" w:line="162" w:lineRule="exact"/>
        <w:rPr>
          <w:sz w:val="20"/>
          <w:szCs w:val="20"/>
          <w:color w:val="auto"/>
        </w:rPr>
      </w:pPr>
    </w:p>
    <w:p>
      <w:pPr>
        <w:ind w:left="660" w:right="720" w:firstLine="441"/>
        <w:spacing w:after="0" w:line="282" w:lineRule="auto"/>
        <w:rPr>
          <w:sz w:val="20"/>
          <w:szCs w:val="20"/>
          <w:color w:val="auto"/>
        </w:rPr>
      </w:pPr>
      <w:r>
        <w:rPr>
          <w:rFonts w:ascii="Times New Roman" w:cs="Times New Roman" w:eastAsia="Times New Roman" w:hAnsi="Times New Roman"/>
          <w:sz w:val="18"/>
          <w:szCs w:val="18"/>
          <w:color w:val="auto"/>
        </w:rPr>
        <w:t>Self-directed brokerage account: Valued at the closing price reported on the active market on which the individual securities are traded.</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Company common stock: Valued using the share value calculated from the observable market price of the PCA common stock.</w:t>
      </w:r>
    </w:p>
    <w:p>
      <w:pPr>
        <w:spacing w:after="0" w:line="225" w:lineRule="exact"/>
        <w:rPr>
          <w:sz w:val="20"/>
          <w:szCs w:val="20"/>
          <w:color w:val="auto"/>
        </w:rPr>
      </w:pPr>
    </w:p>
    <w:p>
      <w:pPr>
        <w:ind w:left="660" w:right="760" w:firstLine="441"/>
        <w:spacing w:after="0" w:line="261" w:lineRule="auto"/>
        <w:rPr>
          <w:sz w:val="20"/>
          <w:szCs w:val="20"/>
          <w:color w:val="auto"/>
        </w:rPr>
      </w:pPr>
      <w:r>
        <w:rPr>
          <w:rFonts w:ascii="Times New Roman" w:cs="Times New Roman" w:eastAsia="Times New Roman" w:hAnsi="Times New Roman"/>
          <w:sz w:val="18"/>
          <w:szCs w:val="18"/>
          <w:color w:val="auto"/>
        </w:rPr>
        <w:t>Collective trust funds, target date collective funds, and short-term investment funds: Valued using the NAV per share practical expedient since these assets do not have readily determinable fair values and are subsequently excluded from the fair value hierarchy. In general, there are no restrictions on the redemption of these funds, which is permitted daily upon proper notice, and there are no unfunded commitments associated with these funds.</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Master Trust’s assets carried at fair value: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right"/>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Net Asset Value</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(NAV)</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Master Trust assets (b)(c):</w:t>
            </w: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Self-directed brokerage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68,568,900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68,568,900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Company common stock</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224,735,489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224,735,489</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Collective trust funds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1,796,495,832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1,796,495,832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Target date collective funds</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858,158,743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858,158,743</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 funds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7,947,737</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7,947,737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Master Trust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293,304,389</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2,662,602,312</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2,955,906,701</w:t>
            </w:r>
          </w:p>
        </w:tc>
        <w:tc>
          <w:tcPr>
            <w:tcW w:w="100" w:type="dxa"/>
            <w:vAlign w:val="bottom"/>
            <w:shd w:val="clear" w:color="auto" w:fill="CFF0FC"/>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3387725</wp:posOffset>
            </wp:positionH>
            <wp:positionV relativeFrom="paragraph">
              <wp:posOffset>-864870</wp:posOffset>
            </wp:positionV>
            <wp:extent cx="60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3387725</wp:posOffset>
            </wp:positionH>
            <wp:positionV relativeFrom="paragraph">
              <wp:posOffset>-847725</wp:posOffset>
            </wp:positionV>
            <wp:extent cx="603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-864870</wp:posOffset>
            </wp:positionV>
            <wp:extent cx="603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-847725</wp:posOffset>
            </wp:positionV>
            <wp:extent cx="60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-864870</wp:posOffset>
            </wp:positionV>
            <wp:extent cx="596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-847725</wp:posOffset>
            </wp:positionV>
            <wp:extent cx="596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-864870</wp:posOffset>
            </wp:positionV>
            <wp:extent cx="60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-847725</wp:posOffset>
            </wp:positionV>
            <wp:extent cx="603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-864870</wp:posOffset>
            </wp:positionV>
            <wp:extent cx="60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-847725</wp:posOffset>
            </wp:positionV>
            <wp:extent cx="603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40"/>
          </w:cols>
          <w:pgMar w:left="420" w:top="1332"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right"/>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Net Asset Value</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(NAV)</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Master Trust assets (b)(c):</w:t>
            </w: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Self-directed brokerage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63,933,022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63,933,022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Company common stock</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249,819,280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249,819,280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Collective trust funds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1,505,906,782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1,505,906,782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Target date collective funds</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763,362,777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763,362,777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 funds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10,243,503</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10,243,503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Master Trust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313,752,302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2,279,513,062</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2,593,265,364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2968625</wp:posOffset>
            </wp:positionH>
            <wp:positionV relativeFrom="paragraph">
              <wp:posOffset>-25400</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-8255</wp:posOffset>
            </wp:positionV>
            <wp:extent cx="60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-25400</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-8255</wp:posOffset>
            </wp:positionV>
            <wp:extent cx="603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-25400</wp:posOffset>
            </wp:positionV>
            <wp:extent cx="59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-8255</wp:posOffset>
            </wp:positionV>
            <wp:extent cx="596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5222875</wp:posOffset>
            </wp:positionH>
            <wp:positionV relativeFrom="paragraph">
              <wp:posOffset>-25400</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5222875</wp:posOffset>
            </wp:positionH>
            <wp:positionV relativeFrom="paragraph">
              <wp:posOffset>-8255</wp:posOffset>
            </wp:positionV>
            <wp:extent cx="60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-25400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-8255</wp:posOffset>
            </wp:positionV>
            <wp:extent cx="603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left="440" w:right="160" w:hanging="436"/>
        <w:spacing w:after="0" w:line="261" w:lineRule="auto"/>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determined that certain assets held in the Master Trust that do not have readily determinable fair values are measured at fair value using the NAV per share practical expedient and are not classified within the fair value hierarchy.</w:t>
      </w:r>
    </w:p>
    <w:p>
      <w:pPr>
        <w:ind w:left="440" w:right="200" w:hanging="436"/>
        <w:spacing w:after="0" w:line="260" w:lineRule="auto"/>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Master Trust holds a portfolio of synthetic guaranteed investment contracts within the PCA Stable Value Fund, which are measured at contract value and are therefore not included in the fair value hierarchy.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Synthetic Guaranteed Investment Contracts</w:t>
      </w:r>
    </w:p>
    <w:p>
      <w:pPr>
        <w:spacing w:after="0" w:line="121"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2025 and 2024, the Plan, through the PCA Stable Value Fund within the Master Trust, held investments in a portfolio of synthetic guaranteed investment contracts. The contracts in the PCA Stable Value Fund are fully benefit-responsive and therefore they are reported at contract value. Contract value is the relevant measure for fully benefit-responsive investment contracts because this is the amount that participants would receive if they were to initiate permitted transactions under the terms of the Master Trust and Plan. The contract value is calculated from the contributions made under the contracts plus interest credited less participant withdrawals and fees.</w:t>
      </w:r>
    </w:p>
    <w:p>
      <w:pPr>
        <w:spacing w:after="0" w:line="187"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The PCA Stable Value Fund primarily invests in synthetic security-backed investment contracts and cash funds. Synthetic security-backed investment contracts are issued by insurance companies and other financial institutions (the “wrap contracts”) that are backed by a portfolio of bonds, fixed income common/collective trust funds, or other fixed income securities (the “underlying assets”) that are owned by the Master Trust and Plan.</w:t>
      </w:r>
    </w:p>
    <w:p>
      <w:pPr>
        <w:spacing w:after="0" w:line="180"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The wrap contract issuers provide a rate of return that has a zero percent floor guarantee and provide full benefit responsiveness, provided that all terms of the wrap contracts have been met. Under the contracts, realized and unrealized gains and losses on the underlying assets are not immediately recognized in the net assets of the Master Trust and Plan, but are amortized over the maturity or duration of the underlying assets, through adjustments to the future interest crediting rate of the wrap contracts.</w:t>
      </w:r>
    </w:p>
    <w:p>
      <w:pPr>
        <w:spacing w:after="0" w:line="180" w:lineRule="exact"/>
        <w:rPr>
          <w:sz w:val="20"/>
          <w:szCs w:val="20"/>
          <w:color w:val="auto"/>
        </w:rPr>
      </w:pPr>
    </w:p>
    <w:p>
      <w:pPr>
        <w:jc w:val="both"/>
        <w:ind w:right="100" w:firstLine="441"/>
        <w:spacing w:after="0" w:line="272" w:lineRule="auto"/>
        <w:rPr>
          <w:sz w:val="20"/>
          <w:szCs w:val="20"/>
          <w:color w:val="auto"/>
        </w:rPr>
      </w:pPr>
      <w:r>
        <w:rPr>
          <w:rFonts w:ascii="Times New Roman" w:cs="Times New Roman" w:eastAsia="Times New Roman" w:hAnsi="Times New Roman"/>
          <w:sz w:val="17"/>
          <w:szCs w:val="17"/>
          <w:color w:val="auto"/>
        </w:rPr>
        <w:t>As of December 31, 2025 and 2024, there were no reserves against the wrap contract’s carrying values due to credit risks of the issuers. Certain events limit the ability of the Master Trust and Plan to transact at contract value with the wrap contract issuers. Such events may include, but are not limited to, Plan sponsor events that cause significant withdrawals from the PCA Stable Value Fund.</w:t>
      </w:r>
    </w:p>
    <w:p>
      <w:pPr>
        <w:spacing w:after="0" w:line="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However, the Master Trust and Plan’s management is not aware of the occurrence, or likely occurrence of any such events, which would limit the Master Trust and Plan’s ability to transact at contract value with the wrap contract issuers. The wrap contracts cannot be terminated by the issuer at a value other than contract value except under a limited number of very specific circumstances such as termination of the Master Trust or Plan or loss of qualified status of the Master Trust or Plan, material misrepresentations by the Master Trust or Plan sponsor or investment manager, the failure of the Plan’s trust to qualify for exemption from federal income taxes or any required prohibited transaction exemption under ERISA, failure by these same parties to meet material obligations under the contracts, or other similar types of events. However, the Master Trust and Plan’s management is unaware of any such events occurring that would allow the wrap contract issuers to terminate the contracts held by the Master Trust and Plan.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Tax Status</w:t>
      </w:r>
    </w:p>
    <w:p>
      <w:pPr>
        <w:spacing w:after="0" w:line="121" w:lineRule="exact"/>
        <w:rPr>
          <w:sz w:val="20"/>
          <w:szCs w:val="20"/>
          <w:color w:val="auto"/>
        </w:rPr>
      </w:pPr>
    </w:p>
    <w:p>
      <w:pPr>
        <w:ind w:right="260" w:firstLine="441"/>
        <w:spacing w:after="0" w:line="256" w:lineRule="auto"/>
        <w:rPr>
          <w:sz w:val="20"/>
          <w:szCs w:val="20"/>
          <w:color w:val="auto"/>
        </w:rPr>
      </w:pPr>
      <w:r>
        <w:rPr>
          <w:rFonts w:ascii="Times New Roman" w:cs="Times New Roman" w:eastAsia="Times New Roman" w:hAnsi="Times New Roman"/>
          <w:sz w:val="18"/>
          <w:szCs w:val="18"/>
          <w:color w:val="auto"/>
        </w:rPr>
        <w:t>The Plan has received a determination letter from the Internal Revenue Service (“IRS”) dated March 2, 2017 stating that the Plan is qualified under Section 401(a) of the Internal Revenue Code (“the Code”) and therefore, the related trust is exempt from taxation. Subsequent to this determination by the IRS, the Plan was amended. Once qualified, the Plan is required to operate in conformity with the Code to maintain its qualified status. The Plan Administrator believes the Plan is being operated in compliance with the applicable requirements of the Code and, therefore, believes the Plan, as amended, is qualified and the related trust is tax-exempt.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22" w:right="1099" w:bottom="1440" w:gutter="0" w:footer="0" w:header="0"/>
        </w:sectPr>
      </w:pPr>
    </w:p>
    <w:bookmarkStart w:id="11" w:name="page12"/>
    <w:bookmarkEnd w:id="11"/>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require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2025 and 2024, there are no uncertain positions taken or expected to be taken. The Plan has recognized no interest or penalties related to uncertain tax positions. The Plan is subject to routine audits by taxing jurisdictions; however, there are currently no audits for any tax periods in progress.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Risks and Uncertainties</w:t>
      </w:r>
    </w:p>
    <w:p>
      <w:pPr>
        <w:spacing w:after="0" w:line="121"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The Plan, through the Master Trust,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Reconciliation of Financial Statements to Form 5500</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reconciliation of net assets available for benefits per the financial statements to the Form 5500:</w:t>
      </w:r>
    </w:p>
    <w:p>
      <w:pPr>
        <w:spacing w:after="0" w:line="246" w:lineRule="exact"/>
        <w:rPr>
          <w:sz w:val="20"/>
          <w:szCs w:val="20"/>
          <w:color w:val="auto"/>
        </w:rPr>
      </w:pPr>
    </w:p>
    <w:tbl>
      <w:tblPr>
        <w:tblLayout w:type="fixed"/>
        <w:tblInd w:w="48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0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1,503,929,018</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1,303,237,495</w:t>
            </w:r>
          </w:p>
        </w:tc>
        <w:tc>
          <w:tcPr>
            <w:tcW w:w="80" w:type="dxa"/>
            <w:vAlign w:val="bottom"/>
            <w:shd w:val="clear" w:color="auto" w:fill="CFF0FC"/>
          </w:tcPr>
          <w:p>
            <w:pPr>
              <w:spacing w:after="0"/>
              <w:rPr>
                <w:sz w:val="18"/>
                <w:szCs w:val="18"/>
                <w:color w:val="auto"/>
              </w:rPr>
            </w:pP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allocated to withdrawing participants</w:t>
            </w: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(340,894)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(352,280)</w:t>
            </w:r>
          </w:p>
        </w:tc>
      </w:tr>
      <w:tr>
        <w:trPr>
          <w:trHeight w:val="249"/>
        </w:trPr>
        <w:tc>
          <w:tcPr>
            <w:tcW w:w="6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Form 5500</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1,503,588,124</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1,302,885,215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-25400</wp:posOffset>
            </wp:positionV>
            <wp:extent cx="51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-7620</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-25400</wp:posOffset>
            </wp:positionV>
            <wp:extent cx="514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-7620</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reconciliation of net increase per the financial statements to the Form 5500:</w:t>
      </w:r>
    </w:p>
    <w:p>
      <w:pPr>
        <w:spacing w:after="0" w:line="233"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6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5"/>
                <w:szCs w:val="15"/>
                <w:color w:val="auto"/>
              </w:rPr>
            </w:pPr>
          </w:p>
        </w:tc>
      </w:tr>
      <w:tr>
        <w:trPr>
          <w:trHeight w:val="210"/>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increase per the financial statements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200,691,523</w:t>
            </w:r>
          </w:p>
        </w:tc>
        <w:tc>
          <w:tcPr>
            <w:tcW w:w="8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Amounts allocated to withdrawing participants at December 31, 2024</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352,280</w:t>
            </w:r>
          </w:p>
        </w:tc>
        <w:tc>
          <w:tcPr>
            <w:tcW w:w="8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allocated to withdrawing participants at December 31, 2025</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(340,894)</w:t>
            </w:r>
          </w:p>
        </w:tc>
      </w:tr>
      <w:tr>
        <w:trPr>
          <w:trHeight w:val="210"/>
        </w:trPr>
        <w:tc>
          <w:tcPr>
            <w:tcW w:w="6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net increase per the Form 5500</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200,702,909</w:t>
            </w:r>
          </w:p>
        </w:tc>
        <w:tc>
          <w:tcPr>
            <w:tcW w:w="80" w:type="dxa"/>
            <w:vAlign w:val="bottom"/>
            <w:tcBorders>
              <w:top w:val="single" w:sz="8" w:color="CFF0FC"/>
            </w:tcBorders>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-170815</wp:posOffset>
            </wp:positionV>
            <wp:extent cx="514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Transactions with Parties-in-Interest and Related Parties</w:t>
      </w:r>
    </w:p>
    <w:p>
      <w:pPr>
        <w:spacing w:after="0" w:line="121"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Under ERISA rules related to 401(k) plans, transactions with related parties of the Plan such as a sponsor, administrator, trustee, acquired entities by the Plan sponsor, or participant are considered either exempt or non-exempt from ERISA prohibited transaction provisions. Non-exempt transactions are subject to penalty taxes.</w:t>
      </w:r>
    </w:p>
    <w:p>
      <w:pPr>
        <w:spacing w:after="0" w:line="176" w:lineRule="exact"/>
        <w:rPr>
          <w:sz w:val="20"/>
          <w:szCs w:val="20"/>
          <w:color w:val="auto"/>
        </w:rPr>
      </w:pPr>
    </w:p>
    <w:p>
      <w:pPr>
        <w:jc w:val="both"/>
        <w:ind w:right="240" w:firstLine="441"/>
        <w:spacing w:after="0" w:line="266" w:lineRule="auto"/>
        <w:rPr>
          <w:sz w:val="20"/>
          <w:szCs w:val="20"/>
          <w:color w:val="auto"/>
        </w:rPr>
      </w:pPr>
      <w:r>
        <w:rPr>
          <w:rFonts w:ascii="Times New Roman" w:cs="Times New Roman" w:eastAsia="Times New Roman" w:hAnsi="Times New Roman"/>
          <w:sz w:val="18"/>
          <w:szCs w:val="18"/>
          <w:color w:val="auto"/>
        </w:rPr>
        <w:t>The Plan invests in the common stock of the Company through a common stock fund. These transactions qualify as party-in-interest transactions; however, they are exempt from the prohibited transactions rules under ERISA. During 2025, the Plan received $1,553,673 in common stock dividends from the Company.</w:t>
      </w:r>
    </w:p>
    <w:p>
      <w:pPr>
        <w:spacing w:after="0" w:line="176"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The Plan’s recordkeeper, trustee, custodian and investment advisor described in Note 1 are each a party-in-interest to the Plan as defined by ERISA. As of December 31, 2025 and 2024, the Master Trust held two collective trust funds and one short-term investment fund that were managed by Northern Trust, the Plan’s custodian. The transactions associated with these three funds qualify as party-in-interest transactions.</w:t>
      </w:r>
    </w:p>
    <w:p>
      <w:pPr>
        <w:spacing w:after="0" w:line="180"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In addition, notes receivable from participants are considered to be party-in-interest transactions for which a statutory exemption from the prohibited transaction regulation exists.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Subsequent Events</w:t>
      </w:r>
    </w:p>
    <w:p>
      <w:pPr>
        <w:spacing w:after="0" w:line="121"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Plan has evaluated subsequent events after the statement of net assets available for plan benefits date through May 28, 2026, the date that the financial statements were issued.</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01" w:right="1099" w:bottom="1440" w:gutter="0" w:footer="0" w:header="0"/>
        </w:sectPr>
      </w:pPr>
    </w:p>
    <w:bookmarkStart w:id="12" w:name="page13"/>
    <w:bookmarkEnd w:id="12"/>
    <w:p>
      <w:pPr>
        <w:ind w:left="3580"/>
        <w:spacing w:after="0"/>
        <w:rPr>
          <w:sz w:val="20"/>
          <w:szCs w:val="20"/>
          <w:color w:val="auto"/>
        </w:rPr>
      </w:pPr>
      <w:r>
        <w:rPr>
          <w:rFonts w:ascii="Times New Roman" w:cs="Times New Roman" w:eastAsia="Times New Roman" w:hAnsi="Times New Roman"/>
          <w:sz w:val="18"/>
          <w:szCs w:val="18"/>
          <w:color w:val="auto"/>
        </w:rPr>
        <w:t>Packaging Corporation of America</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Thrift Plan for Hourly Employees</w:t>
      </w:r>
    </w:p>
    <w:p>
      <w:pPr>
        <w:spacing w:after="0" w:line="20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Schedule H, Line 4i — Schedule of Assets</w:t>
      </w:r>
    </w:p>
    <w:p>
      <w:pPr>
        <w:spacing w:after="0" w:line="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(Held at End of Year)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EIN 36-4277050 Plan 001</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2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Description of Investment, including</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Maturity Date,</w:t>
            </w:r>
          </w:p>
        </w:tc>
        <w:tc>
          <w:tcPr>
            <w:tcW w:w="12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89"/>
              </w:rPr>
              <w:t>(e)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Identity of Issuer, Lessor, Borrower, or</w:t>
            </w:r>
          </w:p>
        </w:tc>
        <w:tc>
          <w:tcPr>
            <w:tcW w:w="12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Rate of Interest, Collateral, Par, or</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Similar Party</w:t>
            </w:r>
          </w:p>
        </w:tc>
        <w:tc>
          <w:tcPr>
            <w:tcW w:w="12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Value</w:t>
            </w:r>
          </w:p>
        </w:tc>
        <w:tc>
          <w:tcPr>
            <w:tcW w:w="1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0" w:type="dxa"/>
            <w:vAlign w:val="bottom"/>
          </w:tcPr>
          <w:p>
            <w:pPr>
              <w:spacing w:after="0"/>
              <w:rPr>
                <w:sz w:val="1"/>
                <w:szCs w:val="1"/>
                <w:color w:val="auto"/>
              </w:rPr>
            </w:pPr>
          </w:p>
        </w:tc>
      </w:tr>
      <w:tr>
        <w:trPr>
          <w:trHeight w:val="191"/>
        </w:trPr>
        <w:tc>
          <w:tcPr>
            <w:tcW w:w="580" w:type="dxa"/>
            <w:vAlign w:val="bottom"/>
            <w:shd w:val="clear" w:color="auto" w:fill="CFF0FC"/>
          </w:tcPr>
          <w:p>
            <w:pPr>
              <w:jc w:val="right"/>
              <w:ind w:right="399"/>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320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Notes Receivable from Participants</w:t>
            </w:r>
          </w:p>
        </w:tc>
        <w:tc>
          <w:tcPr>
            <w:tcW w:w="120" w:type="dxa"/>
            <w:vAlign w:val="bottom"/>
            <w:shd w:val="clear" w:color="auto" w:fill="CFF0FC"/>
          </w:tcPr>
          <w:p>
            <w:pPr>
              <w:spacing w:after="0"/>
              <w:rPr>
                <w:sz w:val="16"/>
                <w:szCs w:val="16"/>
                <w:color w:val="auto"/>
              </w:rPr>
            </w:pPr>
          </w:p>
        </w:tc>
        <w:tc>
          <w:tcPr>
            <w:tcW w:w="356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Interest rates ranging from 3.25% to 9.25%</w:t>
            </w:r>
          </w:p>
        </w:tc>
        <w:tc>
          <w:tcPr>
            <w:tcW w:w="120" w:type="dxa"/>
            <w:vAlign w:val="bottom"/>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shd w:val="clear" w:color="auto" w:fill="CFF0FC"/>
          </w:tcPr>
          <w:p>
            <w:pPr>
              <w:spacing w:after="0"/>
              <w:rPr>
                <w:sz w:val="20"/>
                <w:szCs w:val="20"/>
                <w:color w:val="auto"/>
              </w:rPr>
            </w:pPr>
          </w:p>
        </w:tc>
        <w:tc>
          <w:tcPr>
            <w:tcW w:w="3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Various maturity dates through January 15, 2031</w:t>
            </w: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42,816,747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(Held at End of Year)</w:t>
            </w:r>
          </w:p>
        </w:tc>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42,816,747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a party-in-interest to the Plan as defined by ERISA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5" w:right="1099" w:bottom="1440" w:gutter="0" w:footer="0" w:header="0"/>
        </w:sectPr>
      </w:pPr>
    </w:p>
    <w:bookmarkStart w:id="13" w:name="page14"/>
    <w:bookmarkEnd w:id="13"/>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INDEX TO EXHIBITS</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00"/>
        <w:spacing w:after="0"/>
        <w:tabs>
          <w:tab w:leader="none" w:pos="9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61722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Grant Thornton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-7620</wp:posOffset>
            </wp:positionV>
            <wp:extent cx="14725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31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981" w:right="1440"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jc w:val="both"/>
        <w:ind w:left="660" w:right="106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Plan. </w:t>
      </w:r>
      <w:r>
        <w:rPr>
          <w:rFonts w:ascii="Times New Roman" w:cs="Times New Roman" w:eastAsia="Times New Roman" w:hAnsi="Times New Roman"/>
          <w:sz w:val="18"/>
          <w:szCs w:val="18"/>
          <w:color w:val="auto"/>
        </w:rPr>
        <w:t>Pursuant to the requirements of the Securities Exchange Act of 1934, the Benefits Administration Committee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Packaging Corporation of America has duly caused this annual report to be signed on its behalf by the undersigned 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Packaging Corporation of America</w:t>
            </w:r>
          </w:p>
        </w:tc>
      </w:tr>
      <w:tr>
        <w:trPr>
          <w:trHeight w:val="234"/>
        </w:trPr>
        <w:tc>
          <w:tcPr>
            <w:tcW w:w="37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Thrift Plan for Hourly Employees</w:t>
            </w:r>
          </w:p>
        </w:tc>
      </w:tr>
      <w:tr>
        <w:trPr>
          <w:trHeight w:val="432"/>
        </w:trPr>
        <w:tc>
          <w:tcPr>
            <w:tcW w:w="3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May 28, 2026</w:t>
            </w:r>
          </w:p>
        </w:tc>
        <w:tc>
          <w:tcPr>
            <w:tcW w:w="2240" w:type="dxa"/>
            <w:vAlign w:val="bottom"/>
          </w:tcPr>
          <w:p>
            <w:pPr>
              <w:spacing w:after="0"/>
              <w:rPr>
                <w:sz w:val="24"/>
                <w:szCs w:val="24"/>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FABIAN C. STRAUSS</w:t>
            </w:r>
          </w:p>
        </w:tc>
      </w:tr>
      <w:tr>
        <w:trPr>
          <w:trHeight w:val="189"/>
        </w:trPr>
        <w:tc>
          <w:tcPr>
            <w:tcW w:w="37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38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Fabian C. Strauss</w:t>
            </w:r>
          </w:p>
        </w:tc>
        <w:tc>
          <w:tcPr>
            <w:tcW w:w="660" w:type="dxa"/>
            <w:vAlign w:val="bottom"/>
          </w:tcPr>
          <w:p>
            <w:pPr>
              <w:spacing w:after="0"/>
              <w:rPr>
                <w:sz w:val="16"/>
                <w:szCs w:val="16"/>
                <w:color w:val="auto"/>
              </w:rPr>
            </w:pPr>
          </w:p>
        </w:tc>
      </w:tr>
      <w:tr>
        <w:trPr>
          <w:trHeight w:val="236"/>
        </w:trPr>
        <w:tc>
          <w:tcPr>
            <w:tcW w:w="37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Senior Vice President, Finance, Controller and Treasurer</w:t>
            </w:r>
          </w:p>
        </w:tc>
      </w:tr>
      <w:tr>
        <w:trPr>
          <w:trHeight w:val="432"/>
        </w:trPr>
        <w:tc>
          <w:tcPr>
            <w:tcW w:w="3760" w:type="dxa"/>
            <w:vAlign w:val="bottom"/>
          </w:tcPr>
          <w:p>
            <w:pPr>
              <w:spacing w:after="0"/>
              <w:rPr>
                <w:sz w:val="24"/>
                <w:szCs w:val="24"/>
                <w:color w:val="auto"/>
              </w:rPr>
            </w:pPr>
          </w:p>
        </w:tc>
        <w:tc>
          <w:tcPr>
            <w:tcW w:w="22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w:t>
            </w:r>
          </w:p>
        </w:tc>
        <w:tc>
          <w:tcPr>
            <w:tcW w:w="4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63"/>
        </w:trPr>
        <w:tc>
          <w:tcPr>
            <w:tcW w:w="37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22" w:right="4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issued our report dated May 28, 2026, with respect to the financial statements and supplemental information included in the Annual Report of Packaging Corporation of America Thrift Plan for Hourly Employees on Form 11-K for the year ended December 31, 2025. We consent to the incorporation by reference of said report in the Registration Statement of Packaging Corporation of America in Form S-8 (File No. 333-179620, File No. 333-202723, and File No. 333-238155).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764540</wp:posOffset>
            </wp:positionV>
            <wp:extent cx="70377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008" w:right="11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upperLetter"/>
      <w:start w:val="1"/>
    </w:lvl>
  </w:abstractNum>
  <w:abstractNum w:abstractNumId="3">
    <w:nsid w:val="507ED7AB"/>
    <w:multiLevelType w:val="hybridMultilevel"/>
    <w:lvl w:ilvl="0">
      <w:lvlJc w:val="left"/>
      <w:lvlText w:val="%1."/>
      <w:numFmt w:val="upperLetter"/>
      <w:start w:val="2"/>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2026-05-28T09:44:57Z</dcterms:created>
  <dcterms:modified xsi:type="dcterms:W3CDTF">2026-05-28T09:44:57Z</dcterms:modified>
</cp:coreProperties>
</file>